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60" w:lineRule="auto"/>
        <w:jc w:val="center"/>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  四川省妇女儿童医院</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center"/>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val="en-US" w:eastAsia="zh-CN"/>
        </w:rPr>
        <w:t>晋阳院区生殖医学中心实验室不锈钢操作台采购项目</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center"/>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center"/>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：SCFY-HQ202405-002（磋）</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136" w:afterAutospacing="0" w:line="360" w:lineRule="auto"/>
        <w:ind w:right="0"/>
        <w:jc w:val="center"/>
        <w:rPr>
          <w:rFonts w:hint="eastAsia" w:ascii="黑体" w:hAnsi="黑体" w:eastAsia="黑体" w:cs="黑体"/>
          <w:b/>
          <w:bCs w:val="0"/>
          <w:color w:val="auto"/>
          <w:sz w:val="32"/>
          <w:szCs w:val="32"/>
          <w:highlight w:val="none"/>
          <w:lang w:val="en-US" w:eastAsia="zh-CN"/>
        </w:rPr>
      </w:pP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    我院将召开“晋阳院区生殖医学中心实验室不锈钢操作台采购项目”院内采购会议，会议由后勤保障部组织。届时，请投标人准时参加，务必提供公司资质文件（密封盖章）、采购投标文件（密封盖章）、报价一览表（密封盖章）等资料，具体事项如下：</w:t>
      </w:r>
    </w:p>
    <w:p>
      <w:pPr>
        <w:pStyle w:val="13"/>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firstLine="42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会议时间：</w:t>
      </w:r>
      <w:r>
        <w:rPr>
          <w:rFonts w:hint="eastAsia" w:ascii="宋体" w:hAnsi="宋体" w:cs="宋体"/>
          <w:b/>
          <w:bCs/>
          <w:i w:val="0"/>
          <w:iCs w:val="0"/>
          <w:caps w:val="0"/>
          <w:color w:val="auto"/>
          <w:spacing w:val="0"/>
          <w:sz w:val="24"/>
          <w:szCs w:val="24"/>
          <w:highlight w:val="none"/>
          <w:shd w:val="clear" w:color="auto" w:fill="FFFFFF"/>
          <w:lang w:eastAsia="zh-CN"/>
        </w:rPr>
        <w:t>2024年6月19日（星期三）上午9:00</w:t>
      </w:r>
    </w:p>
    <w:p>
      <w:pPr>
        <w:pStyle w:val="13"/>
        <w:keepNext w:val="0"/>
        <w:keepLines w:val="0"/>
        <w:pageBreakBefore w:val="0"/>
        <w:widowControl/>
        <w:numPr>
          <w:ilvl w:val="0"/>
          <w:numId w:val="1"/>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0" w:leftChars="0" w:right="0" w:rightChars="0" w:firstLine="42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综合楼五楼小会议室</w:t>
      </w:r>
      <w:r>
        <w:rPr>
          <w:rFonts w:hint="eastAsia" w:ascii="宋体" w:hAnsi="宋体" w:eastAsia="宋体" w:cs="宋体"/>
          <w:b/>
          <w:bCs/>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rPr>
        <w:t xml:space="preserve">     </w:t>
      </w:r>
    </w:p>
    <w:p>
      <w:pPr>
        <w:pStyle w:val="13"/>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pStyle w:val="13"/>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136" w:line="360" w:lineRule="auto"/>
        <w:ind w:left="420" w:leftChars="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w:t>
      </w:r>
      <w:r>
        <w:rPr>
          <w:rFonts w:hint="eastAsia" w:ascii="宋体" w:hAnsi="宋体" w:eastAsia="宋体" w:cs="宋体"/>
          <w:i w:val="0"/>
          <w:iCs w:val="0"/>
          <w:caps w:val="0"/>
          <w:color w:val="auto"/>
          <w:spacing w:val="0"/>
          <w:sz w:val="24"/>
          <w:szCs w:val="24"/>
          <w:highlight w:val="none"/>
          <w:shd w:val="clear" w:color="auto" w:fill="FFFFFF"/>
          <w:lang w:val="en-US" w:eastAsia="zh-CN"/>
        </w:rPr>
        <w:t>现场</w:t>
      </w:r>
      <w:r>
        <w:rPr>
          <w:rFonts w:hint="eastAsia" w:ascii="宋体" w:hAnsi="宋体" w:eastAsia="宋体" w:cs="宋体"/>
          <w:i w:val="0"/>
          <w:iCs w:val="0"/>
          <w:caps w:val="0"/>
          <w:color w:val="auto"/>
          <w:spacing w:val="0"/>
          <w:sz w:val="24"/>
          <w:szCs w:val="24"/>
          <w:highlight w:val="none"/>
          <w:shd w:val="clear" w:color="auto" w:fill="FFFFFF"/>
        </w:rPr>
        <w:t>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line="360" w:lineRule="auto"/>
        <w:ind w:left="479" w:leftChars="228" w:firstLine="0" w:firstLine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r>
        <w:rPr>
          <w:rFonts w:hint="eastAsia" w:ascii="宋体" w:hAnsi="宋体" w:cs="宋体"/>
          <w:b/>
          <w:bCs/>
          <w:i w:val="0"/>
          <w:iCs w:val="0"/>
          <w:caps w:val="0"/>
          <w:color w:val="auto"/>
          <w:spacing w:val="0"/>
          <w:sz w:val="24"/>
          <w:szCs w:val="24"/>
          <w:highlight w:val="none"/>
          <w:shd w:val="clear" w:color="auto" w:fill="FFFFFF"/>
          <w:lang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3</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见附件2-4</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见附件2-5</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eastAsia="zh-CN"/>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i w:val="0"/>
          <w:iCs w:val="0"/>
          <w:caps w:val="0"/>
          <w:color w:val="auto"/>
          <w:spacing w:val="0"/>
          <w:sz w:val="24"/>
          <w:szCs w:val="24"/>
          <w:highlight w:val="none"/>
          <w:shd w:val="clear" w:color="auto" w:fill="FFFFFF"/>
          <w:lang w:val="en-US" w:eastAsia="zh-CN"/>
        </w:rPr>
        <w:t>等</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ind w:left="420" w:leftChars="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6</w:t>
      </w:r>
      <w:r>
        <w:rPr>
          <w:rFonts w:hint="eastAsia" w:ascii="宋体" w:hAnsi="宋体" w:eastAsia="宋体" w:cs="宋体"/>
          <w:i w:val="0"/>
          <w:iCs w:val="0"/>
          <w:caps w:val="0"/>
          <w:color w:val="auto"/>
          <w:spacing w:val="0"/>
          <w:sz w:val="24"/>
          <w:szCs w:val="24"/>
          <w:highlight w:val="none"/>
          <w:shd w:val="clear" w:color="auto" w:fill="FFFFFF"/>
        </w:rPr>
        <w:t>投标人应在采购文件书中按采购公告的规定和要求附上所有的资格证明文件，要求提供复印件的必须加盖单位印章，并在必要时提供原件备查。</w:t>
      </w:r>
    </w:p>
    <w:p>
      <w:pPr>
        <w:keepNext w:val="0"/>
        <w:keepLines w:val="0"/>
        <w:pageBreakBefore w:val="0"/>
        <w:numPr>
          <w:ilvl w:val="0"/>
          <w:numId w:val="0"/>
        </w:numPr>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”（格式见附件</w:t>
      </w:r>
      <w:r>
        <w:rPr>
          <w:rFonts w:hint="eastAsia" w:ascii="宋体" w:hAnsi="宋体" w:eastAsia="宋体" w:cs="宋体"/>
          <w:i w:val="0"/>
          <w:iCs w:val="0"/>
          <w:caps w:val="0"/>
          <w:color w:val="auto"/>
          <w:spacing w:val="0"/>
          <w:sz w:val="24"/>
          <w:szCs w:val="24"/>
          <w:highlight w:val="none"/>
          <w:shd w:val="clear" w:color="auto" w:fill="FFFFFF"/>
          <w:lang w:val="en-US" w:eastAsia="zh-CN"/>
        </w:rPr>
        <w:t>2-1</w:t>
      </w:r>
      <w:r>
        <w:rPr>
          <w:rFonts w:hint="eastAsia" w:ascii="宋体" w:hAnsi="宋体" w:eastAsia="宋体" w:cs="宋体"/>
          <w:i w:val="0"/>
          <w:iCs w:val="0"/>
          <w:caps w:val="0"/>
          <w:color w:val="auto"/>
          <w:spacing w:val="0"/>
          <w:sz w:val="24"/>
          <w:szCs w:val="24"/>
          <w:highlight w:val="none"/>
          <w:shd w:val="clear" w:color="auto" w:fill="FFFFFF"/>
        </w:rPr>
        <w:t xml:space="preserve">）的格式填写;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left="0" w:right="0" w:firstLine="42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eastAsia="宋体" w:cs="宋体"/>
          <w:i w:val="0"/>
          <w:iCs w:val="0"/>
          <w:caps w:val="0"/>
          <w:color w:val="auto"/>
          <w:spacing w:val="0"/>
          <w:sz w:val="24"/>
          <w:szCs w:val="24"/>
          <w:highlight w:val="none"/>
          <w:shd w:val="clear" w:color="auto" w:fill="FFFFFF"/>
          <w:lang w:val="en-US" w:eastAsia="zh-CN"/>
        </w:rPr>
        <w:t>进度</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cs="宋体"/>
          <w:i w:val="0"/>
          <w:iCs w:val="0"/>
          <w:caps w:val="0"/>
          <w:color w:val="auto"/>
          <w:spacing w:val="0"/>
          <w:sz w:val="24"/>
          <w:szCs w:val="24"/>
          <w:highlight w:val="none"/>
          <w:shd w:val="clear" w:color="auto" w:fill="FFFFFF"/>
          <w:lang w:eastAsia="zh-CN"/>
        </w:rPr>
        <w:t>2024年6月19日（星期三）上午9:00</w:t>
      </w:r>
      <w:r>
        <w:rPr>
          <w:rFonts w:hint="eastAsia" w:ascii="宋体" w:hAnsi="宋体" w:eastAsia="宋体" w:cs="宋体"/>
          <w:i w:val="0"/>
          <w:iCs w:val="0"/>
          <w:caps w:val="0"/>
          <w:color w:val="auto"/>
          <w:spacing w:val="0"/>
          <w:sz w:val="24"/>
          <w:szCs w:val="24"/>
          <w:highlight w:val="none"/>
          <w:shd w:val="clear" w:color="auto" w:fill="FFFFFF"/>
        </w:rPr>
        <w:t>前提供</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4.2.1-4.2.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条要求的资质证明文件，进行资格审查。</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i w:val="0"/>
          <w:iCs w:val="0"/>
          <w:caps w:val="0"/>
          <w:color w:val="auto"/>
          <w:spacing w:val="0"/>
          <w:sz w:val="24"/>
          <w:szCs w:val="24"/>
          <w:highlight w:val="none"/>
          <w:shd w:val="clear" w:color="auto" w:fill="FFFFFF"/>
          <w:lang w:eastAsia="zh-CN"/>
        </w:rPr>
        <w:t>2024年6月19日（星期三）上午9:00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采购资质文件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eastAsia="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i w:val="0"/>
          <w:iCs w:val="0"/>
          <w:caps w:val="0"/>
          <w:color w:val="auto"/>
          <w:spacing w:val="0"/>
          <w:sz w:val="24"/>
          <w:szCs w:val="24"/>
          <w:highlight w:val="none"/>
          <w:shd w:val="clear" w:color="auto" w:fill="FFFFFF"/>
          <w:lang w:eastAsia="zh-CN"/>
        </w:rPr>
        <w:t>2024年6月19日（星期三）上午9:00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7个工作日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1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其它说明：</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eastAsia="宋体" w:cs="宋体"/>
          <w:i w:val="0"/>
          <w:iCs w:val="0"/>
          <w:caps w:val="0"/>
          <w:color w:val="auto"/>
          <w:spacing w:val="0"/>
          <w:sz w:val="24"/>
          <w:szCs w:val="24"/>
          <w:highlight w:val="none"/>
          <w:shd w:val="clear" w:color="auto" w:fill="FFFFFF"/>
          <w:lang w:val="en-US" w:eastAsia="zh-CN"/>
        </w:rPr>
        <w:t>投标文件装订顺序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eastAsia="宋体" w:cs="宋体"/>
          <w:color w:val="auto"/>
          <w:sz w:val="24"/>
          <w:szCs w:val="24"/>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cs="宋体"/>
          <w:i w:val="0"/>
          <w:iCs w:val="0"/>
          <w:caps w:val="0"/>
          <w:color w:val="auto"/>
          <w:spacing w:val="0"/>
          <w:sz w:val="24"/>
          <w:szCs w:val="24"/>
          <w:highlight w:val="none"/>
          <w:shd w:val="clear" w:color="auto" w:fill="FFFFFF"/>
          <w:lang w:val="en-US" w:eastAsia="zh-CN"/>
        </w:rPr>
        <w:t>。</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王</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w:t>
      </w:r>
      <w:r>
        <w:rPr>
          <w:rFonts w:hint="eastAsia" w:ascii="宋体" w:hAnsi="宋体" w:cs="宋体"/>
          <w:i w:val="0"/>
          <w:iCs w:val="0"/>
          <w:caps w:val="0"/>
          <w:color w:val="auto"/>
          <w:spacing w:val="0"/>
          <w:sz w:val="24"/>
          <w:szCs w:val="24"/>
          <w:highlight w:val="none"/>
          <w:shd w:val="clear" w:color="auto" w:fill="FFFFFF"/>
          <w:lang w:val="en-US" w:eastAsia="zh-CN"/>
        </w:rPr>
        <w:t>5978223</w:t>
      </w:r>
      <w:r>
        <w:rPr>
          <w:rFonts w:hint="eastAsia" w:ascii="宋体" w:hAnsi="宋体" w:eastAsia="宋体" w:cs="宋体"/>
          <w:i w:val="0"/>
          <w:iCs w:val="0"/>
          <w:caps w:val="0"/>
          <w:color w:val="auto"/>
          <w:spacing w:val="0"/>
          <w:sz w:val="24"/>
          <w:szCs w:val="24"/>
          <w:highlight w:val="none"/>
          <w:shd w:val="clear" w:color="auto" w:fill="FFFFFF"/>
        </w:rPr>
        <w:t>。</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eastAsia="宋体" w:cs="宋体"/>
          <w:i w:val="0"/>
          <w:iCs w:val="0"/>
          <w:caps w:val="0"/>
          <w:color w:val="auto"/>
          <w:spacing w:val="0"/>
          <w:sz w:val="24"/>
          <w:szCs w:val="24"/>
          <w:highlight w:val="none"/>
          <w:shd w:val="clear" w:color="auto" w:fill="FFFFFF"/>
        </w:rPr>
        <w:br w:type="textWrapping"/>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采购投标文件装订顺序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2"/>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auto"/>
          <w:spacing w:val="0"/>
          <w:sz w:val="24"/>
          <w:szCs w:val="24"/>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auto"/>
          <w:spacing w:val="0"/>
          <w:sz w:val="24"/>
          <w:szCs w:val="24"/>
          <w:shd w:val="clear" w:color="auto" w:fill="FFFFFF"/>
        </w:rPr>
      </w:pPr>
      <w:r>
        <w:rPr>
          <w:rFonts w:hint="eastAsia" w:ascii="宋体" w:hAnsi="宋体" w:eastAsia="宋体" w:cs="宋体"/>
          <w:b/>
          <w:bCs/>
          <w:i w:val="0"/>
          <w:caps w:val="0"/>
          <w:color w:val="auto"/>
          <w:spacing w:val="0"/>
          <w:sz w:val="24"/>
          <w:szCs w:val="24"/>
          <w:shd w:val="clear" w:color="auto" w:fill="FFFFFF"/>
          <w:lang w:val="en-US" w:eastAsia="zh-CN"/>
        </w:rPr>
        <w:t>附件1：采购</w:t>
      </w:r>
      <w:r>
        <w:rPr>
          <w:rFonts w:hint="eastAsia" w:ascii="宋体" w:hAnsi="宋体" w:eastAsia="宋体" w:cs="宋体"/>
          <w:b/>
          <w:bCs/>
          <w:i w:val="0"/>
          <w:caps w:val="0"/>
          <w:color w:val="auto"/>
          <w:spacing w:val="0"/>
          <w:sz w:val="24"/>
          <w:szCs w:val="24"/>
          <w:shd w:val="clear" w:color="auto" w:fill="FFFFFF"/>
        </w:rPr>
        <w:t>需求</w:t>
      </w:r>
    </w:p>
    <w:p>
      <w:pPr>
        <w:pStyle w:val="20"/>
        <w:keepNext w:val="0"/>
        <w:keepLines w:val="0"/>
        <w:pageBreakBefore w:val="0"/>
        <w:kinsoku/>
        <w:overflowPunct/>
        <w:topLinePunct w:val="0"/>
        <w:bidi w:val="0"/>
        <w:spacing w:line="360" w:lineRule="auto"/>
        <w:rPr>
          <w:rFonts w:hint="eastAsia" w:ascii="宋体" w:hAnsi="宋体" w:eastAsia="宋体" w:cs="宋体"/>
          <w:b/>
          <w:bCs/>
          <w:i w:val="0"/>
          <w:caps w:val="0"/>
          <w:color w:val="auto"/>
          <w:spacing w:val="0"/>
          <w:sz w:val="24"/>
          <w:szCs w:val="24"/>
          <w:shd w:val="clear" w:color="auto" w:fill="FFFFFF"/>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实验室不锈钢操作台技术参数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一、产品描述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锈钢操作台又称为不锈钢工作台，不锈钢工作桌。采用优质不锈钢，整体耐高温、氧化，有良好的耐腐蚀性，且表面简洁，光洁度高，易清洁、易于打理保养，各种类型的工作桌均采用组合式设计、拆装组合容易且稳固、耐用;适用于各种实验室、净化室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二、设计参数</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1、不锈钢台采用 304 不锈钢，由台面、H 型框架组合而成，可设计为拆装、整装款式;</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2、台面为双层结构，内嵌中纤板，台面整体承重较好耐压性好，可减少撞击时发出的响声以减少噪音;</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3、框架采用方管焊接而成，管材焊接处无裂、叠，外露管口端面封闭，固定部位牢固无松动、无少件、透钉、漏钉，表面无剥落、反锈，最大程度提高实用性;</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4、立柱配可调节脚、(采用尼龙材质，防滑、防刮，用于调整与现场地面高低、水平、倾斜的调整)、或移动轮子(可轻松灵活移动，对于一些需要经常更改、移动的室内适用);5、所有板件经数控激光切割、模具冲压、数控折弯、亚弧/激光焊接、机器打磨、抛光、拉丝而成，人体接触或收藏物品的部位无毛刺、刃口、棱角。</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三、性能参数</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1.产品表面抗盐雾测试,18h，直径1.5mm以下锈点≤20点/dm2,其中直径&gt;1.0mm锈点不超过5点</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2.冲击强度测试:冲击高度 400mm,无剥落、裂纹、皱纹</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3. 防腐蚀测试:100h 内，观察在溶液中样板上划道两侧3mm2以外，无鼓泡产生;100h 后，检查划道两侧 3mm 处无锈迹、剥落、起皱、变色和失光等现象。</w:t>
      </w:r>
    </w:p>
    <w:p>
      <w:pPr>
        <w:keepNext w:val="0"/>
        <w:keepLines w:val="0"/>
        <w:pageBreakBefore w:val="0"/>
        <w:widowControl w:val="0"/>
        <w:kinsoku/>
        <w:wordWrap/>
        <w:overflowPunct/>
        <w:topLinePunct w:val="0"/>
        <w:autoSpaceDE/>
        <w:autoSpaceDN/>
        <w:bidi w:val="0"/>
        <w:adjustRightInd/>
        <w:snapToGrid/>
        <w:spacing w:line="360" w:lineRule="auto"/>
        <w:ind w:firstLine="241" w:firstLineChars="100"/>
        <w:textAlignment w:val="auto"/>
        <w:rPr>
          <w:rFonts w:hint="eastAsia" w:ascii="宋体" w:hAnsi="宋体" w:eastAsia="宋体" w:cs="宋体"/>
          <w:sz w:val="24"/>
          <w:szCs w:val="24"/>
        </w:rPr>
      </w:pPr>
      <w:r>
        <w:rPr>
          <w:rFonts w:hint="eastAsia" w:ascii="宋体" w:hAnsi="宋体" w:eastAsia="宋体" w:cs="宋体"/>
          <w:b/>
          <w:bCs/>
          <w:sz w:val="24"/>
          <w:szCs w:val="24"/>
        </w:rPr>
        <w:t>4.详细技术要求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0" distR="0">
            <wp:extent cx="3472180" cy="1620520"/>
            <wp:effectExtent l="0" t="0" r="13970" b="17780"/>
            <wp:docPr id="4" name="图片 4" descr="O:\品牌部\工程项目照片\2023\广西大学\修图\DSC032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O:\品牌部\工程项目照片\2023\广西大学\修图\DSC03278.jpg"/>
                    <pic:cNvPicPr>
                      <a:picLocks noChangeAspect="1" noChangeArrowheads="1"/>
                    </pic:cNvPicPr>
                  </pic:nvPicPr>
                  <pic:blipFill>
                    <a:blip r:embed="rId6" cstate="print">
                      <a:extLst>
                        <a:ext uri="{28A0092B-C50C-407E-A947-70E740481C1C}">
                          <a14:useLocalDpi xmlns:a14="http://schemas.microsoft.com/office/drawing/2010/main" val="0"/>
                        </a:ext>
                      </a:extLst>
                    </a:blip>
                    <a:srcRect l="1" t="30199" r="319"/>
                    <a:stretch>
                      <a:fillRect/>
                    </a:stretch>
                  </pic:blipFill>
                  <pic:spPr>
                    <a:xfrm>
                      <a:off x="0" y="0"/>
                      <a:ext cx="3474496" cy="1621759"/>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4.1设计制造标准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4.1.1《金属家具通用技术条件》（GB/T 3325-2008）；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4.1.2《实验室家具通用技术条件》（GB 24820-2009）</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4.1.3《美国科学设备暨实验室家具国际协会》SEFA 8 M （实验室等级钢制柜体要求）；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4.2承重要求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4.2.1每延米承重不小于400kg；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4.2.2 抽屉承重不小于40kg；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4.2.3门板承重不小于40kg；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4.2.4箱体层板承重不小于40kg</w:t>
      </w:r>
    </w:p>
    <w:p>
      <w:pPr>
        <w:keepNext w:val="0"/>
        <w:keepLines w:val="0"/>
        <w:pageBreakBefore w:val="0"/>
        <w:widowControl w:val="0"/>
        <w:tabs>
          <w:tab w:val="left" w:pos="993"/>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4.3 试验台参数</w:t>
      </w:r>
    </w:p>
    <w:p>
      <w:pPr>
        <w:keepNext w:val="0"/>
        <w:keepLines w:val="0"/>
        <w:pageBreakBefore w:val="0"/>
        <w:widowControl w:val="0"/>
        <w:tabs>
          <w:tab w:val="left" w:pos="993"/>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4.3.1 实验台标准尺寸为L*1500（750）*850（mm）长、宽、高误差点≤3mm；邻边垂直度：台面对角线、框架对角线1000mm以下≤2mm； 1000mm以上≤3mm；</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▲4.3.2. 实验台使用模块化任意组合，主箱体采用现代积木组合、</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分上中下三层重叠凸面设计立体层次视觉效果好，上梁整体结构为现</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场安装提供便利提升安装效率、质量，均衡的受力面使整体的承重能</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力得到加强，采用上下分色涂层外观上层次分明、美观耐污性好，书</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写操作位配置可拆装式背板方便安装维护，中间水盆台凹进式设计方</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便上下水的安装维护，桌面配置多功能铝合金试剂架及智能光感电动</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上翻门吊柜；</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4.3.3 钢制部件表处理（含所有钢制箱体、封板、支架等钢制工件），</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所有切割、冲压、钻孔件要去披锋平毛刺；表面经脱脂、水洗、酸洗、</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水洗、中和、磷化、水洗、高压冲洗、烘干后使用环氧树脂喷涂粉末</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进行喷涂高温固化，涂层厚度 ≥75μm，满足实验室家具硬度、耐腐</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蚀、附着力的技术要求，表面光滑均匀、色泽一致、无流挂、皱皮、</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鼓泡、凹陷、压痕。</w:t>
      </w:r>
    </w:p>
    <w:p>
      <w:pPr>
        <w:keepNext w:val="0"/>
        <w:keepLines w:val="0"/>
        <w:pageBreakBefore w:val="0"/>
        <w:widowControl w:val="0"/>
        <w:kinsoku/>
        <w:wordWrap/>
        <w:overflowPunct/>
        <w:topLinePunct w:val="0"/>
        <w:autoSpaceDE/>
        <w:autoSpaceDN/>
        <w:bidi w:val="0"/>
        <w:adjustRightInd/>
        <w:snapToGrid/>
        <w:spacing w:line="360" w:lineRule="auto"/>
        <w:ind w:left="759" w:leftChars="133" w:hanging="480" w:hangingChars="200"/>
        <w:textAlignment w:val="auto"/>
        <w:rPr>
          <w:rFonts w:hint="eastAsia" w:ascii="宋体" w:hAnsi="宋体" w:eastAsia="宋体" w:cs="宋体"/>
          <w:bCs/>
          <w:sz w:val="24"/>
          <w:szCs w:val="24"/>
        </w:rPr>
      </w:pPr>
      <w:r>
        <w:rPr>
          <w:rFonts w:hint="eastAsia" w:ascii="宋体" w:hAnsi="宋体" w:eastAsia="宋体" w:cs="宋体"/>
          <w:sz w:val="24"/>
          <w:szCs w:val="24"/>
        </w:rPr>
        <w:t>▲</w:t>
      </w:r>
      <w:r>
        <w:rPr>
          <w:rFonts w:hint="eastAsia" w:ascii="宋体" w:hAnsi="宋体" w:eastAsia="宋体" w:cs="宋体"/>
          <w:bCs/>
          <w:sz w:val="24"/>
          <w:szCs w:val="24"/>
        </w:rPr>
        <w:t>4.3.4 柜体：实验室用柜体</w:t>
      </w:r>
      <w:r>
        <w:rPr>
          <w:rFonts w:hint="eastAsia" w:ascii="宋体" w:hAnsi="宋体" w:eastAsia="宋体" w:cs="宋体"/>
          <w:sz w:val="24"/>
          <w:szCs w:val="24"/>
        </w:rPr>
        <w:t>为片装组合结构，</w:t>
      </w:r>
      <w:r>
        <w:rPr>
          <w:rFonts w:hint="eastAsia" w:ascii="宋体" w:hAnsi="宋体" w:eastAsia="宋体" w:cs="宋体"/>
          <w:bCs/>
          <w:sz w:val="24"/>
          <w:szCs w:val="24"/>
        </w:rPr>
        <w:t>采用≥1.0mm高品</w:t>
      </w:r>
    </w:p>
    <w:p>
      <w:pPr>
        <w:keepNext w:val="0"/>
        <w:keepLines w:val="0"/>
        <w:pageBreakBefore w:val="0"/>
        <w:widowControl w:val="0"/>
        <w:kinsoku/>
        <w:wordWrap/>
        <w:overflowPunct/>
        <w:topLinePunct w:val="0"/>
        <w:autoSpaceDE/>
        <w:autoSpaceDN/>
        <w:bidi w:val="0"/>
        <w:adjustRightInd/>
        <w:snapToGrid/>
        <w:spacing w:line="360" w:lineRule="auto"/>
        <w:ind w:left="759" w:leftChars="133" w:hanging="480" w:hangingChars="200"/>
        <w:textAlignment w:val="auto"/>
        <w:rPr>
          <w:rFonts w:hint="eastAsia" w:ascii="宋体" w:hAnsi="宋体" w:eastAsia="宋体" w:cs="宋体"/>
          <w:bCs/>
          <w:sz w:val="24"/>
          <w:szCs w:val="24"/>
        </w:rPr>
      </w:pPr>
      <w:r>
        <w:rPr>
          <w:rFonts w:hint="eastAsia" w:ascii="宋体" w:hAnsi="宋体" w:eastAsia="宋体" w:cs="宋体"/>
          <w:bCs/>
          <w:sz w:val="24"/>
          <w:szCs w:val="24"/>
        </w:rPr>
        <w:t>质一级冷轧钢板（SPCCT），表面经酸洗、磷化防锈及静电处理，</w:t>
      </w:r>
    </w:p>
    <w:p>
      <w:pPr>
        <w:keepNext w:val="0"/>
        <w:keepLines w:val="0"/>
        <w:pageBreakBefore w:val="0"/>
        <w:widowControl w:val="0"/>
        <w:kinsoku/>
        <w:wordWrap/>
        <w:overflowPunct/>
        <w:topLinePunct w:val="0"/>
        <w:autoSpaceDE/>
        <w:autoSpaceDN/>
        <w:bidi w:val="0"/>
        <w:adjustRightInd/>
        <w:snapToGrid/>
        <w:spacing w:line="360" w:lineRule="auto"/>
        <w:ind w:left="759" w:leftChars="133" w:hanging="480" w:hangingChars="200"/>
        <w:textAlignment w:val="auto"/>
        <w:rPr>
          <w:rFonts w:hint="eastAsia" w:ascii="宋体" w:hAnsi="宋体" w:eastAsia="宋体" w:cs="宋体"/>
          <w:sz w:val="24"/>
          <w:szCs w:val="24"/>
        </w:rPr>
      </w:pPr>
      <w:r>
        <w:rPr>
          <w:rFonts w:hint="eastAsia" w:ascii="宋体" w:hAnsi="宋体" w:eastAsia="宋体" w:cs="宋体"/>
          <w:bCs/>
          <w:sz w:val="24"/>
          <w:szCs w:val="24"/>
        </w:rPr>
        <w:t>并喷涂≧</w:t>
      </w:r>
      <w:r>
        <w:rPr>
          <w:rFonts w:hint="eastAsia" w:ascii="宋体" w:hAnsi="宋体" w:eastAsia="宋体" w:cs="宋体"/>
          <w:sz w:val="24"/>
          <w:szCs w:val="24"/>
        </w:rPr>
        <w:t>75μm</w:t>
      </w:r>
      <w:r>
        <w:rPr>
          <w:rFonts w:hint="eastAsia" w:ascii="宋体" w:hAnsi="宋体" w:eastAsia="宋体" w:cs="宋体"/>
          <w:bCs/>
          <w:sz w:val="24"/>
          <w:szCs w:val="24"/>
        </w:rPr>
        <w:t>厚环氧树脂粉末。</w:t>
      </w:r>
      <w:r>
        <w:rPr>
          <w:rFonts w:hint="eastAsia" w:ascii="宋体" w:hAnsi="宋体" w:eastAsia="宋体" w:cs="宋体"/>
          <w:sz w:val="24"/>
          <w:szCs w:val="24"/>
        </w:rPr>
        <w:t>箱体组装用拉铆螺母经19kn以</w:t>
      </w:r>
    </w:p>
    <w:p>
      <w:pPr>
        <w:keepNext w:val="0"/>
        <w:keepLines w:val="0"/>
        <w:pageBreakBefore w:val="0"/>
        <w:widowControl w:val="0"/>
        <w:kinsoku/>
        <w:wordWrap/>
        <w:overflowPunct/>
        <w:topLinePunct w:val="0"/>
        <w:autoSpaceDE/>
        <w:autoSpaceDN/>
        <w:bidi w:val="0"/>
        <w:adjustRightInd/>
        <w:snapToGrid/>
        <w:spacing w:line="360" w:lineRule="auto"/>
        <w:ind w:left="759" w:leftChars="133"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上拉力铆固，配合不锈钢机丝螺丝连接方便现场组装，不破坏防腐</w:t>
      </w:r>
    </w:p>
    <w:p>
      <w:pPr>
        <w:keepNext w:val="0"/>
        <w:keepLines w:val="0"/>
        <w:pageBreakBefore w:val="0"/>
        <w:widowControl w:val="0"/>
        <w:kinsoku/>
        <w:wordWrap/>
        <w:overflowPunct/>
        <w:topLinePunct w:val="0"/>
        <w:autoSpaceDE/>
        <w:autoSpaceDN/>
        <w:bidi w:val="0"/>
        <w:adjustRightInd/>
        <w:snapToGrid/>
        <w:spacing w:line="360" w:lineRule="auto"/>
        <w:ind w:left="759" w:leftChars="133"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涂层，工件所有连接部分经过两次环氧喷涂，避免因水份或者试剂</w:t>
      </w:r>
    </w:p>
    <w:p>
      <w:pPr>
        <w:keepNext w:val="0"/>
        <w:keepLines w:val="0"/>
        <w:pageBreakBefore w:val="0"/>
        <w:widowControl w:val="0"/>
        <w:kinsoku/>
        <w:wordWrap/>
        <w:overflowPunct/>
        <w:topLinePunct w:val="0"/>
        <w:autoSpaceDE/>
        <w:autoSpaceDN/>
        <w:bidi w:val="0"/>
        <w:adjustRightInd/>
        <w:snapToGrid/>
        <w:spacing w:line="360" w:lineRule="auto"/>
        <w:ind w:left="759" w:leftChars="133"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渗漏进接缝后出现腐蚀生锈。</w:t>
      </w:r>
    </w:p>
    <w:p>
      <w:pPr>
        <w:keepNext w:val="0"/>
        <w:keepLines w:val="0"/>
        <w:pageBreakBefore w:val="0"/>
        <w:widowControl w:val="0"/>
        <w:kinsoku/>
        <w:wordWrap/>
        <w:overflowPunct/>
        <w:topLinePunct w:val="0"/>
        <w:autoSpaceDE/>
        <w:autoSpaceDN/>
        <w:bidi w:val="0"/>
        <w:adjustRightInd/>
        <w:snapToGrid/>
        <w:spacing w:line="360" w:lineRule="auto"/>
        <w:ind w:left="789" w:leftChars="33"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▲4.3.5</w:t>
      </w:r>
      <w:r>
        <w:rPr>
          <w:rFonts w:hint="eastAsia" w:ascii="宋体" w:hAnsi="宋体" w:eastAsia="宋体" w:cs="宋体"/>
          <w:bCs/>
          <w:sz w:val="24"/>
          <w:szCs w:val="24"/>
        </w:rPr>
        <w:t xml:space="preserve"> 门板：采用≥1.0mm高品质冷轧钢板（SPCCT），喷涂</w:t>
      </w:r>
      <w:r>
        <w:rPr>
          <w:rFonts w:hint="eastAsia" w:ascii="宋体" w:hAnsi="宋体" w:eastAsia="宋体" w:cs="宋体"/>
          <w:sz w:val="24"/>
          <w:szCs w:val="24"/>
        </w:rPr>
        <w:t>75μ</w:t>
      </w:r>
    </w:p>
    <w:p>
      <w:pPr>
        <w:keepNext w:val="0"/>
        <w:keepLines w:val="0"/>
        <w:pageBreakBefore w:val="0"/>
        <w:widowControl w:val="0"/>
        <w:kinsoku/>
        <w:wordWrap/>
        <w:overflowPunct/>
        <w:topLinePunct w:val="0"/>
        <w:autoSpaceDE/>
        <w:autoSpaceDN/>
        <w:bidi w:val="0"/>
        <w:adjustRightInd/>
        <w:snapToGrid/>
        <w:spacing w:line="360" w:lineRule="auto"/>
        <w:ind w:left="789" w:leftChars="33"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m</w:t>
      </w:r>
      <w:r>
        <w:rPr>
          <w:rFonts w:hint="eastAsia" w:ascii="宋体" w:hAnsi="宋体" w:eastAsia="宋体" w:cs="宋体"/>
          <w:bCs/>
          <w:sz w:val="24"/>
          <w:szCs w:val="24"/>
        </w:rPr>
        <w:t>厚环氧树脂粉末，</w:t>
      </w:r>
      <w:r>
        <w:rPr>
          <w:rFonts w:hint="eastAsia" w:ascii="宋体" w:hAnsi="宋体" w:eastAsia="宋体" w:cs="宋体"/>
          <w:sz w:val="24"/>
          <w:szCs w:val="24"/>
        </w:rPr>
        <w:t>门面板为凸面双斜边设计，双层结构内外部都经</w:t>
      </w:r>
    </w:p>
    <w:p>
      <w:pPr>
        <w:keepNext w:val="0"/>
        <w:keepLines w:val="0"/>
        <w:pageBreakBefore w:val="0"/>
        <w:widowControl w:val="0"/>
        <w:kinsoku/>
        <w:wordWrap/>
        <w:overflowPunct/>
        <w:topLinePunct w:val="0"/>
        <w:autoSpaceDE/>
        <w:autoSpaceDN/>
        <w:bidi w:val="0"/>
        <w:adjustRightInd/>
        <w:snapToGrid/>
        <w:spacing w:line="360" w:lineRule="auto"/>
        <w:ind w:left="789" w:leftChars="33" w:hanging="720" w:hangingChars="300"/>
        <w:textAlignment w:val="auto"/>
        <w:rPr>
          <w:rFonts w:hint="eastAsia" w:ascii="宋体" w:hAnsi="宋体" w:eastAsia="宋体" w:cs="宋体"/>
          <w:bCs/>
          <w:sz w:val="24"/>
          <w:szCs w:val="24"/>
        </w:rPr>
      </w:pPr>
      <w:r>
        <w:rPr>
          <w:rFonts w:hint="eastAsia" w:ascii="宋体" w:hAnsi="宋体" w:eastAsia="宋体" w:cs="宋体"/>
          <w:sz w:val="24"/>
          <w:szCs w:val="24"/>
        </w:rPr>
        <w:t>过环氧树脂喷涂中间填充隔音材料；</w:t>
      </w:r>
      <w:r>
        <w:rPr>
          <w:rFonts w:hint="eastAsia" w:ascii="宋体" w:hAnsi="宋体" w:eastAsia="宋体" w:cs="宋体"/>
          <w:bCs/>
          <w:sz w:val="24"/>
          <w:szCs w:val="24"/>
        </w:rPr>
        <w:t>门板内含填充材料起到静音作</w:t>
      </w:r>
    </w:p>
    <w:p>
      <w:pPr>
        <w:keepNext w:val="0"/>
        <w:keepLines w:val="0"/>
        <w:pageBreakBefore w:val="0"/>
        <w:widowControl w:val="0"/>
        <w:kinsoku/>
        <w:wordWrap/>
        <w:overflowPunct/>
        <w:topLinePunct w:val="0"/>
        <w:autoSpaceDE/>
        <w:autoSpaceDN/>
        <w:bidi w:val="0"/>
        <w:adjustRightInd/>
        <w:snapToGrid/>
        <w:spacing w:line="360" w:lineRule="auto"/>
        <w:ind w:left="789" w:leftChars="33" w:hanging="720" w:hangingChars="300"/>
        <w:textAlignment w:val="auto"/>
        <w:rPr>
          <w:rFonts w:hint="eastAsia" w:ascii="宋体" w:hAnsi="宋体" w:eastAsia="宋体" w:cs="宋体"/>
          <w:bCs/>
          <w:sz w:val="24"/>
          <w:szCs w:val="24"/>
        </w:rPr>
      </w:pPr>
      <w:r>
        <w:rPr>
          <w:rFonts w:hint="eastAsia" w:ascii="宋体" w:hAnsi="宋体" w:eastAsia="宋体" w:cs="宋体"/>
          <w:bCs/>
          <w:sz w:val="24"/>
          <w:szCs w:val="24"/>
        </w:rPr>
        <w:t>用。 柜体门板以下性能指标：拉门强度、拉门水平加载、拉门耐久</w:t>
      </w:r>
    </w:p>
    <w:p>
      <w:pPr>
        <w:keepNext w:val="0"/>
        <w:keepLines w:val="0"/>
        <w:pageBreakBefore w:val="0"/>
        <w:widowControl w:val="0"/>
        <w:kinsoku/>
        <w:wordWrap/>
        <w:overflowPunct/>
        <w:topLinePunct w:val="0"/>
        <w:autoSpaceDE/>
        <w:autoSpaceDN/>
        <w:bidi w:val="0"/>
        <w:adjustRightInd/>
        <w:snapToGrid/>
        <w:spacing w:line="360" w:lineRule="auto"/>
        <w:ind w:left="789" w:leftChars="33" w:hanging="720" w:hangingChars="300"/>
        <w:textAlignment w:val="auto"/>
        <w:rPr>
          <w:rFonts w:hint="eastAsia" w:ascii="宋体" w:hAnsi="宋体" w:eastAsia="宋体" w:cs="宋体"/>
          <w:bCs/>
          <w:sz w:val="24"/>
          <w:szCs w:val="24"/>
        </w:rPr>
      </w:pPr>
      <w:r>
        <w:rPr>
          <w:rFonts w:hint="eastAsia" w:ascii="宋体" w:hAnsi="宋体" w:eastAsia="宋体" w:cs="宋体"/>
          <w:bCs/>
          <w:sz w:val="24"/>
          <w:szCs w:val="24"/>
        </w:rPr>
        <w:t>性等试验均符合EN14727:2005测试标准；提供加盖生产企业公章的</w:t>
      </w:r>
    </w:p>
    <w:p>
      <w:pPr>
        <w:keepNext w:val="0"/>
        <w:keepLines w:val="0"/>
        <w:pageBreakBefore w:val="0"/>
        <w:widowControl w:val="0"/>
        <w:kinsoku/>
        <w:wordWrap/>
        <w:overflowPunct/>
        <w:topLinePunct w:val="0"/>
        <w:autoSpaceDE/>
        <w:autoSpaceDN/>
        <w:bidi w:val="0"/>
        <w:adjustRightInd/>
        <w:snapToGrid/>
        <w:spacing w:line="360" w:lineRule="auto"/>
        <w:ind w:left="789" w:leftChars="33" w:hanging="720" w:hangingChars="300"/>
        <w:textAlignment w:val="auto"/>
        <w:rPr>
          <w:rFonts w:hint="eastAsia" w:ascii="宋体" w:hAnsi="宋体" w:eastAsia="宋体" w:cs="宋体"/>
          <w:bCs/>
          <w:sz w:val="24"/>
          <w:szCs w:val="24"/>
        </w:rPr>
      </w:pPr>
      <w:r>
        <w:rPr>
          <w:rFonts w:hint="eastAsia" w:ascii="宋体" w:hAnsi="宋体" w:eastAsia="宋体" w:cs="宋体"/>
          <w:bCs/>
          <w:sz w:val="24"/>
          <w:szCs w:val="24"/>
        </w:rPr>
        <w:t>相关证明材料或第三方检测机构出具的检测报告复印件；</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bCs/>
          <w:sz w:val="24"/>
          <w:szCs w:val="24"/>
        </w:rPr>
      </w:pPr>
      <w:r>
        <w:rPr>
          <w:rFonts w:hint="eastAsia" w:ascii="宋体" w:hAnsi="宋体" w:eastAsia="宋体" w:cs="宋体"/>
          <w:bCs/>
          <w:sz w:val="24"/>
          <w:szCs w:val="24"/>
        </w:rPr>
        <w:t xml:space="preserve">4.3.6 抽屉: </w:t>
      </w:r>
      <w:r>
        <w:rPr>
          <w:rFonts w:hint="eastAsia" w:ascii="宋体" w:hAnsi="宋体" w:eastAsia="宋体" w:cs="宋体"/>
          <w:sz w:val="24"/>
          <w:szCs w:val="24"/>
        </w:rPr>
        <w:t>抽屉为片装组合结构凸面双斜边设计，</w:t>
      </w:r>
      <w:r>
        <w:rPr>
          <w:rFonts w:hint="eastAsia" w:ascii="宋体" w:hAnsi="宋体" w:eastAsia="宋体" w:cs="宋体"/>
          <w:bCs/>
          <w:sz w:val="24"/>
          <w:szCs w:val="24"/>
        </w:rPr>
        <w:t>采用≥1.0mm</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bCs/>
          <w:sz w:val="24"/>
          <w:szCs w:val="24"/>
        </w:rPr>
        <w:t>高品质冷轧钢板（SPCCT），喷涂≧</w:t>
      </w:r>
      <w:r>
        <w:rPr>
          <w:rFonts w:hint="eastAsia" w:ascii="宋体" w:hAnsi="宋体" w:eastAsia="宋体" w:cs="宋体"/>
          <w:sz w:val="24"/>
          <w:szCs w:val="24"/>
        </w:rPr>
        <w:t>75μm</w:t>
      </w:r>
      <w:r>
        <w:rPr>
          <w:rFonts w:hint="eastAsia" w:ascii="宋体" w:hAnsi="宋体" w:eastAsia="宋体" w:cs="宋体"/>
          <w:bCs/>
          <w:sz w:val="24"/>
          <w:szCs w:val="24"/>
        </w:rPr>
        <w:t>厚环氧树脂粉末，</w:t>
      </w:r>
      <w:r>
        <w:rPr>
          <w:rFonts w:hint="eastAsia" w:ascii="宋体" w:hAnsi="宋体" w:eastAsia="宋体" w:cs="宋体"/>
          <w:sz w:val="24"/>
          <w:szCs w:val="24"/>
        </w:rPr>
        <w:t>抽屉底</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部和四面抽墙应为独立拆装结构组装，用拉铆螺母经19kn以上拉</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力铆固，配合不锈钢机丝螺丝连接方便现场组装，不破坏防腐涂层，</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工件所有连接部分经过两次环氧喷涂，避免因水份或者试剂渗漏进</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接缝后出现腐蚀生锈。抽屉内不出现焊接位，双层结构内外部都经</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过环氧树脂喷涂中间填充隔音材料；抽屉柜以下性能指标：顶板底</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部静载荷、抽屉结构强度和抽屉和推拉构件强度、耐久性等试验均</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符合EN14727:2005测试标准，提供加盖生产企业公章的相关证明</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材料或第三方检测机构出具的检测报告复印件；</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▲4.3.7. 上梁：使用1.2mm铝型材经专用模具拉伸成型，美观大方，</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可搭配柜体、门板及地围颜色进行配色选择；平整性强，能均匀承托</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台面，使台面更平整，承重能力更强。</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▲4.3.8. 地围：使用1.2mm铝型材经专用模具拉伸成型结合高强度</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工程塑料插件组合而成，易清洁，可搭配柜体、门板及上梁颜色进行</w:t>
      </w:r>
    </w:p>
    <w:p>
      <w:pPr>
        <w:keepNext w:val="0"/>
        <w:keepLines w:val="0"/>
        <w:pageBreakBefore w:val="0"/>
        <w:widowControl w:val="0"/>
        <w:kinsoku/>
        <w:wordWrap/>
        <w:overflowPunct/>
        <w:topLinePunct w:val="0"/>
        <w:autoSpaceDE/>
        <w:autoSpaceDN/>
        <w:bidi w:val="0"/>
        <w:adjustRightInd/>
        <w:snapToGrid/>
        <w:spacing w:line="360" w:lineRule="auto"/>
        <w:ind w:left="840" w:hanging="720" w:hangingChars="300"/>
        <w:textAlignment w:val="auto"/>
        <w:rPr>
          <w:rFonts w:hint="eastAsia" w:ascii="宋体" w:hAnsi="宋体" w:eastAsia="宋体" w:cs="宋体"/>
          <w:sz w:val="24"/>
          <w:szCs w:val="24"/>
        </w:rPr>
      </w:pPr>
      <w:r>
        <w:rPr>
          <w:rFonts w:hint="eastAsia" w:ascii="宋体" w:hAnsi="宋体" w:eastAsia="宋体" w:cs="宋体"/>
          <w:sz w:val="24"/>
          <w:szCs w:val="24"/>
        </w:rPr>
        <w:t>配色选择；下斜面设计符合人体工体学，美观实用。</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4.4. 五金配件</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4.4.1导轨：采用1.2mm三节缓冲静音阻尼导轨，不用任何工具自</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由拆装，外轨两侧采用5*3（3个钢珠一组）单边15个钢珠保障导</w:t>
      </w:r>
    </w:p>
    <w:p>
      <w:pPr>
        <w:keepNext w:val="0"/>
        <w:keepLines w:val="0"/>
        <w:pageBreakBefore w:val="0"/>
        <w:widowControl w:val="0"/>
        <w:kinsoku/>
        <w:wordWrap/>
        <w:overflowPunct/>
        <w:topLinePunct w:val="0"/>
        <w:autoSpaceDE/>
        <w:autoSpaceDN/>
        <w:bidi w:val="0"/>
        <w:adjustRightInd/>
        <w:snapToGrid/>
        <w:spacing w:line="360" w:lineRule="auto"/>
        <w:ind w:left="690" w:leftChars="100" w:hanging="480" w:hangingChars="200"/>
        <w:textAlignment w:val="auto"/>
        <w:rPr>
          <w:rFonts w:hint="eastAsia" w:ascii="宋体" w:hAnsi="宋体" w:eastAsia="宋体" w:cs="宋体"/>
          <w:sz w:val="24"/>
          <w:szCs w:val="24"/>
        </w:rPr>
      </w:pPr>
      <w:r>
        <w:rPr>
          <w:rFonts w:hint="eastAsia" w:ascii="宋体" w:hAnsi="宋体" w:eastAsia="宋体" w:cs="宋体"/>
          <w:sz w:val="24"/>
          <w:szCs w:val="24"/>
        </w:rPr>
        <w:t>轨的拉动顺畅和高承重要求；</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4.4.2合页：采用缓冲铰链；</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4.4.3拉手：与柜门、抽面板一体折弯成型拉手，简洁大方线条感强、牢固耐用；</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四、相关证明文件</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1.第三方检测机构出具的 GB/T3325-2017《金属家具通用技术条件》检测报告；</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2.第三方检测机构出具的 GB24820-2009《实验室家具通用技术条件》检测报告；</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3. 厂家授权文件及售后服务承诺书</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五、实验室改造平面图</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0" distR="0">
            <wp:extent cx="8223885" cy="5812155"/>
            <wp:effectExtent l="0" t="0" r="17145"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rot="5400000">
                      <a:off x="0" y="0"/>
                      <a:ext cx="8244510" cy="5826544"/>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六、不锈钢操作台单件图</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6.1名称:不锈钢移动台</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规格:1500*750*850</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结构:全不锈钢结构</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台面:25mm中纤板外包1.0mm厚度不锈钢、双层</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4663440" cy="3415030"/>
            <wp:effectExtent l="0" t="0" r="3810" b="139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663440" cy="341503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6.2名称: 钢铝混合630边台</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规格:1600*750*850</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结构:钢铝结构</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 xml:space="preserve">台面:20厚陶瓷台面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drawing>
          <wp:inline distT="0" distB="0" distL="0" distR="0">
            <wp:extent cx="3152140" cy="2701290"/>
            <wp:effectExtent l="0" t="0" r="1016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3191922" cy="2735383"/>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6.3名称: 630活动台</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规格:450*503*730</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结构:全钢结构</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0" distR="0">
            <wp:extent cx="2962275" cy="2169795"/>
            <wp:effectExtent l="0" t="0" r="9525"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978246" cy="2181513"/>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z w:val="24"/>
          <w:szCs w:val="24"/>
        </w:rPr>
      </w:pPr>
      <w:r>
        <w:rPr>
          <w:rFonts w:hint="eastAsia" w:ascii="宋体" w:hAnsi="宋体" w:eastAsia="宋体" w:cs="宋体"/>
          <w:sz w:val="24"/>
          <w:szCs w:val="24"/>
        </w:rPr>
        <w:t>七、实验室不锈钢操作台清单表</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center"/>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0" distR="0">
            <wp:extent cx="4673600" cy="8312150"/>
            <wp:effectExtent l="0" t="0" r="12700"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4683334" cy="8329508"/>
                    </a:xfrm>
                    <a:prstGeom prst="rect">
                      <a:avLst/>
                    </a:prstGeom>
                  </pic:spPr>
                </pic:pic>
              </a:graphicData>
            </a:graphic>
          </wp:inline>
        </w:drawing>
      </w:r>
    </w:p>
    <w:p>
      <w:pPr>
        <w:keepNext w:val="0"/>
        <w:keepLines w:val="0"/>
        <w:widowControl/>
        <w:numPr>
          <w:ilvl w:val="0"/>
          <w:numId w:val="3"/>
        </w:numPr>
        <w:suppressLineNumbers w:val="0"/>
        <w:jc w:val="left"/>
        <w:rPr>
          <w:rFonts w:hint="eastAsia" w:ascii="宋体" w:hAnsi="宋体" w:cs="宋体"/>
          <w:sz w:val="24"/>
          <w:szCs w:val="24"/>
          <w:lang w:val="en-US" w:eastAsia="zh-CN"/>
        </w:rPr>
      </w:pPr>
      <w:r>
        <w:rPr>
          <w:rFonts w:hint="eastAsia" w:ascii="宋体" w:hAnsi="宋体" w:eastAsia="宋体" w:cs="宋体"/>
          <w:sz w:val="24"/>
          <w:szCs w:val="24"/>
          <w:lang w:val="en-US" w:eastAsia="zh-CN"/>
        </w:rPr>
        <w:t>本项目最高限价：188526元</w:t>
      </w:r>
      <w:r>
        <w:rPr>
          <w:rFonts w:hint="eastAsia" w:ascii="宋体" w:hAnsi="宋体" w:cs="宋体"/>
          <w:sz w:val="24"/>
          <w:szCs w:val="24"/>
          <w:lang w:val="en-US" w:eastAsia="zh-CN"/>
        </w:rPr>
        <w:t xml:space="preserve">，超过最高限价为无效报价。 </w:t>
      </w:r>
    </w:p>
    <w:p>
      <w:pPr>
        <w:keepNext w:val="0"/>
        <w:keepLines w:val="0"/>
        <w:widowControl/>
        <w:numPr>
          <w:ilvl w:val="0"/>
          <w:numId w:val="3"/>
        </w:numPr>
        <w:suppressLineNumbers w:val="0"/>
        <w:jc w:val="left"/>
        <w:rPr>
          <w:rFonts w:hint="default" w:ascii="宋体" w:hAnsi="宋体" w:cs="宋体"/>
          <w:sz w:val="24"/>
          <w:szCs w:val="24"/>
          <w:lang w:val="en-US" w:eastAsia="zh-CN"/>
        </w:rPr>
      </w:pPr>
      <w:r>
        <w:rPr>
          <w:rFonts w:hint="eastAsia" w:ascii="宋体" w:hAnsi="宋体" w:cs="宋体"/>
          <w:sz w:val="24"/>
          <w:szCs w:val="24"/>
          <w:lang w:val="en-US" w:eastAsia="zh-CN"/>
        </w:rPr>
        <w:t>本项目为综合评分法，详细评分细则如下：</w:t>
      </w:r>
    </w:p>
    <w:tbl>
      <w:tblPr>
        <w:tblStyle w:val="16"/>
        <w:tblW w:w="925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681"/>
        <w:gridCol w:w="681"/>
        <w:gridCol w:w="2426"/>
        <w:gridCol w:w="681"/>
        <w:gridCol w:w="47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tcBorders>
              <w:top w:val="single" w:color="000000" w:sz="8" w:space="0"/>
              <w:left w:val="single" w:color="000000" w:sz="8" w:space="0"/>
              <w:bottom w:val="single" w:color="000000" w:sz="8" w:space="0"/>
              <w:right w:val="single" w:color="000000" w:sz="8"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序号</w:t>
            </w:r>
          </w:p>
        </w:tc>
        <w:tc>
          <w:tcPr>
            <w:tcW w:w="3788" w:type="dxa"/>
            <w:gridSpan w:val="3"/>
            <w:tcBorders>
              <w:top w:val="single" w:color="000000" w:sz="8" w:space="0"/>
              <w:left w:val="single" w:color="000000" w:sz="8" w:space="0"/>
              <w:bottom w:val="single" w:color="000000" w:sz="8" w:space="0"/>
              <w:right w:val="single" w:color="000000" w:sz="8"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评分项</w:t>
            </w:r>
          </w:p>
        </w:tc>
        <w:tc>
          <w:tcPr>
            <w:tcW w:w="4784" w:type="dxa"/>
            <w:tcBorders>
              <w:top w:val="single" w:color="000000" w:sz="8" w:space="0"/>
              <w:left w:val="single" w:color="000000" w:sz="8" w:space="0"/>
              <w:bottom w:val="single" w:color="000000" w:sz="8" w:space="0"/>
              <w:right w:val="single" w:color="000000" w:sz="8"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权重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rPr>
            </w:pPr>
            <w:r>
              <w:rPr>
                <w:rFonts w:hint="eastAsia" w:ascii="宋体" w:hAnsi="宋体" w:eastAsia="宋体" w:cs="宋体"/>
                <w:color w:val="0000FF"/>
                <w:sz w:val="24"/>
                <w:szCs w:val="24"/>
                <w:lang w:eastAsia="zh-CN"/>
              </w:rPr>
              <w:t>1</w:t>
            </w:r>
          </w:p>
        </w:tc>
        <w:tc>
          <w:tcPr>
            <w:tcW w:w="3788" w:type="dxa"/>
            <w:gridSpan w:val="3"/>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rPr>
            </w:pPr>
            <w:r>
              <w:rPr>
                <w:rFonts w:hint="eastAsia" w:ascii="宋体" w:hAnsi="宋体" w:eastAsia="宋体" w:cs="宋体"/>
                <w:color w:val="0000FF"/>
                <w:sz w:val="24"/>
                <w:szCs w:val="24"/>
                <w:lang w:eastAsia="zh-CN"/>
              </w:rPr>
              <w:t>价格</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rPr>
            </w:pPr>
            <w:r>
              <w:rPr>
                <w:rFonts w:hint="eastAsia" w:ascii="宋体" w:hAnsi="宋体" w:eastAsia="宋体" w:cs="宋体"/>
                <w:color w:val="0000FF"/>
                <w:sz w:val="24"/>
                <w:szCs w:val="24"/>
                <w:lang w:eastAsia="zh-CN"/>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lang w:eastAsia="zh-CN"/>
              </w:rPr>
            </w:pPr>
          </w:p>
        </w:tc>
        <w:tc>
          <w:tcPr>
            <w:tcW w:w="3788" w:type="dxa"/>
            <w:gridSpan w:val="3"/>
            <w:tcBorders>
              <w:top w:val="single" w:color="000000" w:sz="8" w:space="0"/>
              <w:left w:val="single" w:color="000000" w:sz="8" w:space="0"/>
              <w:bottom w:val="single" w:color="000000" w:sz="8" w:space="0"/>
              <w:right w:val="single" w:color="000000" w:sz="8" w:space="0"/>
            </w:tcBorders>
            <w:vAlign w:val="center"/>
          </w:tcPr>
          <w:p>
            <w:pPr>
              <w:wordWrap w:val="0"/>
              <w:jc w:val="left"/>
              <w:rPr>
                <w:rFonts w:hint="eastAsia" w:ascii="宋体" w:hAnsi="宋体" w:eastAsia="宋体" w:cs="宋体"/>
                <w:color w:val="0000FF"/>
                <w:sz w:val="24"/>
                <w:szCs w:val="24"/>
                <w:lang w:eastAsia="zh-CN"/>
              </w:rPr>
            </w:pPr>
            <w:r>
              <w:rPr>
                <w:rFonts w:hint="eastAsia" w:ascii="宋体" w:hAnsi="宋体" w:eastAsia="宋体" w:cs="宋体"/>
                <w:sz w:val="24"/>
                <w:szCs w:val="24"/>
                <w:lang w:eastAsia="zh-CN"/>
              </w:rPr>
              <w:t>投标报价得分＝（评标基准价/投标报价）×价格分值</w:t>
            </w:r>
            <w:r>
              <w:rPr>
                <w:rFonts w:hint="eastAsia" w:ascii="宋体" w:hAnsi="宋体" w:cs="宋体"/>
                <w:sz w:val="24"/>
                <w:szCs w:val="24"/>
                <w:lang w:val="en-US" w:eastAsia="zh-CN"/>
              </w:rPr>
              <w:t>20</w:t>
            </w:r>
            <w:r>
              <w:rPr>
                <w:rFonts w:hint="eastAsia" w:ascii="宋体" w:hAnsi="宋体" w:eastAsia="宋体" w:cs="宋体"/>
                <w:sz w:val="24"/>
                <w:szCs w:val="24"/>
                <w:lang w:eastAsia="zh-CN"/>
              </w:rPr>
              <w:t>【注：满足招标文件要求且投标价格最低的投标报价为评标基准价。】最低报价不是中标的唯一依据。</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lang w:eastAsia="zh-CN"/>
              </w:rPr>
            </w:pPr>
            <w:r>
              <w:rPr>
                <w:rFonts w:hint="eastAsia" w:ascii="宋体" w:hAnsi="宋体" w:eastAsia="宋体" w:cs="宋体"/>
                <w:color w:val="0000FF"/>
                <w:sz w:val="24"/>
                <w:szCs w:val="24"/>
                <w:lang w:eastAsia="zh-CN"/>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8572" w:type="dxa"/>
            <w:gridSpan w:val="4"/>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详细计算方法见以下价格分计算说明条款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rPr>
            </w:pPr>
            <w:r>
              <w:rPr>
                <w:rFonts w:hint="eastAsia" w:ascii="宋体" w:hAnsi="宋体" w:eastAsia="宋体" w:cs="宋体"/>
                <w:color w:val="0000FF"/>
                <w:sz w:val="24"/>
                <w:szCs w:val="24"/>
                <w:lang w:eastAsia="zh-CN"/>
              </w:rPr>
              <w:t>2</w:t>
            </w:r>
          </w:p>
        </w:tc>
        <w:tc>
          <w:tcPr>
            <w:tcW w:w="3788" w:type="dxa"/>
            <w:gridSpan w:val="3"/>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rPr>
            </w:pPr>
            <w:r>
              <w:rPr>
                <w:rFonts w:hint="eastAsia" w:ascii="宋体" w:hAnsi="宋体" w:eastAsia="宋体" w:cs="宋体"/>
                <w:color w:val="0000FF"/>
                <w:sz w:val="24"/>
                <w:szCs w:val="24"/>
                <w:lang w:eastAsia="zh-CN"/>
              </w:rPr>
              <w:t>商务</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rPr>
            </w:pPr>
            <w:r>
              <w:rPr>
                <w:rFonts w:hint="eastAsia" w:ascii="宋体" w:hAnsi="宋体" w:eastAsia="宋体" w:cs="宋体"/>
                <w:color w:val="0000FF"/>
                <w:sz w:val="24"/>
                <w:szCs w:val="24"/>
                <w:lang w:eastAsia="zh-CN"/>
              </w:rPr>
              <w:t>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rPr>
            </w:pPr>
          </w:p>
        </w:tc>
        <w:tc>
          <w:tcPr>
            <w:tcW w:w="8572" w:type="dxa"/>
            <w:gridSpan w:val="4"/>
            <w:tcBorders>
              <w:top w:val="single" w:color="000000" w:sz="8" w:space="0"/>
              <w:left w:val="single" w:color="000000" w:sz="8" w:space="0"/>
              <w:bottom w:val="single" w:color="000000" w:sz="8" w:space="0"/>
              <w:right w:val="single" w:color="000000" w:sz="8" w:space="0"/>
            </w:tcBorders>
          </w:tcPr>
          <w:p>
            <w:pPr>
              <w:rPr>
                <w:rFonts w:hint="eastAsia" w:ascii="宋体" w:hAnsi="宋体" w:eastAsia="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color="auto" w:fill="E6EFFA"/>
            <w:vAlign w:val="center"/>
          </w:tcPr>
          <w:p>
            <w:pPr>
              <w:jc w:val="center"/>
              <w:rPr>
                <w:rFonts w:hint="eastAsia" w:ascii="宋体" w:hAnsi="宋体" w:eastAsia="宋体" w:cs="宋体"/>
                <w:color w:val="0000FF"/>
                <w:sz w:val="24"/>
                <w:szCs w:val="24"/>
              </w:rPr>
            </w:pP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序号</w:t>
            </w:r>
          </w:p>
        </w:tc>
        <w:tc>
          <w:tcPr>
            <w:tcW w:w="2426"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评分因素</w:t>
            </w: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权重</w:t>
            </w:r>
          </w:p>
        </w:tc>
        <w:tc>
          <w:tcPr>
            <w:tcW w:w="4784"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评分准则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1</w:t>
            </w:r>
          </w:p>
        </w:tc>
        <w:tc>
          <w:tcPr>
            <w:tcW w:w="2426"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投标货物业绩</w:t>
            </w: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6</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textAlignment w:val="top"/>
              <w:rPr>
                <w:rFonts w:hint="eastAsia" w:ascii="宋体" w:hAnsi="宋体" w:eastAsia="宋体" w:cs="宋体"/>
                <w:sz w:val="24"/>
                <w:szCs w:val="24"/>
              </w:rPr>
            </w:pP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 xml:space="preserve"> 年 1 月 1 日至投标截止日止（以合同签订日期为准）具有同类实验室家具项目业绩的（同类实验室家具项目业绩指单个委托合同内包含中央台、边台的供货业绩），每项得1分，本项最高得6分。同一法人单位签署的多份合同不重复计算。（页每份业绩须提供如中标公告截图、合同的首、供货内容页、合同盖章页，不提供或不完整的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2</w:t>
            </w:r>
          </w:p>
        </w:tc>
        <w:tc>
          <w:tcPr>
            <w:tcW w:w="2426"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lang w:eastAsia="zh-CN"/>
              </w:rPr>
            </w:pPr>
            <w:r>
              <w:rPr>
                <w:rFonts w:hint="eastAsia" w:ascii="宋体" w:hAnsi="宋体" w:eastAsia="宋体" w:cs="宋体"/>
                <w:sz w:val="24"/>
                <w:szCs w:val="24"/>
              </w:rPr>
              <w:t>使用用户评价</w:t>
            </w: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4</w:t>
            </w:r>
          </w:p>
        </w:tc>
        <w:tc>
          <w:tcPr>
            <w:tcW w:w="4784" w:type="dxa"/>
            <w:tcBorders>
              <w:top w:val="single" w:color="000000" w:sz="8" w:space="0"/>
              <w:left w:val="single" w:color="000000" w:sz="8" w:space="0"/>
              <w:bottom w:val="single" w:color="000000" w:sz="8" w:space="0"/>
              <w:right w:val="single" w:color="000000" w:sz="8" w:space="0"/>
            </w:tcBorders>
            <w:vAlign w:val="center"/>
          </w:tcPr>
          <w:p>
            <w:pPr>
              <w:pStyle w:val="6"/>
              <w:spacing w:line="380" w:lineRule="exact"/>
              <w:rPr>
                <w:rFonts w:hint="eastAsia" w:ascii="宋体" w:hAnsi="宋体" w:eastAsia="宋体" w:cs="宋体"/>
                <w:sz w:val="24"/>
                <w:szCs w:val="24"/>
              </w:rPr>
            </w:pPr>
            <w:r>
              <w:rPr>
                <w:rFonts w:hint="eastAsia" w:ascii="宋体" w:hAnsi="宋体" w:eastAsia="宋体" w:cs="宋体"/>
                <w:sz w:val="24"/>
                <w:szCs w:val="24"/>
              </w:rPr>
              <w:t>提供与本次报价人所投同类项目业绩经验的使用用户评价，每提供一个“满意”或“非常满意”或经磋商小组认可的类似好评的使用用户评价得1分，本项最高不超过4分。</w:t>
            </w:r>
          </w:p>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注：须提供用户单位的评价证明（格式自拟，须加盖单位公章）不提供或不完整的不得分）。同一法人单位的多份用户评价只计算1份。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3</w:t>
            </w:r>
          </w:p>
        </w:tc>
        <w:tc>
          <w:tcPr>
            <w:tcW w:w="2426"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管理体系认证证书情况</w:t>
            </w: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3</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投标人提供所投产品制造商具有有效期之内的（1）质量管理体系认证证书、（2）环境管理体系认证证书、（3）职业健康安全管理体系认证证书，以上证书的认证范围含实验室家具。每提供1个得1分，共3分 ；注：提供认证证书复印件和打印网站公布的信息查询资料【网址以 http://www.cnca.gov.cn/网站公布为准】,已失效或撤销或暂停的不得分，同时提供上述认证证书复印件和打印网站公布的信息查询资料，否则为0分。公开信息中无法查询或与公开信息不一致的，投标人必须提供发证机构出具的证明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4</w:t>
            </w:r>
          </w:p>
        </w:tc>
        <w:tc>
          <w:tcPr>
            <w:tcW w:w="2426" w:type="dxa"/>
            <w:tcBorders>
              <w:top w:val="single" w:color="000000" w:sz="8" w:space="0"/>
              <w:left w:val="single" w:color="000000" w:sz="8" w:space="0"/>
              <w:bottom w:val="single" w:color="000000" w:sz="8" w:space="0"/>
              <w:right w:val="single" w:color="000000" w:sz="8" w:space="0"/>
            </w:tcBorders>
            <w:vAlign w:val="center"/>
          </w:tcPr>
          <w:p>
            <w:pPr>
              <w:spacing w:line="360" w:lineRule="auto"/>
              <w:jc w:val="center"/>
              <w:rPr>
                <w:rFonts w:hint="eastAsia" w:ascii="宋体" w:hAnsi="宋体" w:eastAsia="宋体" w:cs="宋体"/>
                <w:sz w:val="24"/>
                <w:szCs w:val="24"/>
              </w:rPr>
            </w:pPr>
            <w:r>
              <w:rPr>
                <w:rFonts w:hint="eastAsia" w:ascii="宋体" w:hAnsi="宋体" w:eastAsia="宋体" w:cs="宋体"/>
                <w:bCs/>
                <w:sz w:val="24"/>
                <w:szCs w:val="24"/>
              </w:rPr>
              <w:t>综合实力</w:t>
            </w:r>
          </w:p>
        </w:tc>
        <w:tc>
          <w:tcPr>
            <w:tcW w:w="681" w:type="dxa"/>
            <w:tcBorders>
              <w:top w:val="single" w:color="000000" w:sz="8" w:space="0"/>
              <w:left w:val="single" w:color="000000" w:sz="8" w:space="0"/>
              <w:bottom w:val="single" w:color="000000" w:sz="8" w:space="0"/>
              <w:right w:val="single" w:color="000000" w:sz="8" w:space="0"/>
            </w:tcBorders>
            <w:vAlign w:val="center"/>
          </w:tcPr>
          <w:p>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6分</w:t>
            </w:r>
          </w:p>
        </w:tc>
        <w:tc>
          <w:tcPr>
            <w:tcW w:w="4784" w:type="dxa"/>
            <w:tcBorders>
              <w:top w:val="single" w:color="000000" w:sz="8" w:space="0"/>
              <w:left w:val="single" w:color="000000" w:sz="8" w:space="0"/>
              <w:bottom w:val="single" w:color="000000" w:sz="8" w:space="0"/>
              <w:right w:val="single" w:color="000000" w:sz="8" w:space="0"/>
            </w:tcBorders>
          </w:tcPr>
          <w:p>
            <w:pPr>
              <w:spacing w:line="276"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1）投标人获得省级（或以上）行政部门颁发的专精特新中小企业称号，提供政府行政部门公示的清单截图，有得2分，无不得分；</w:t>
            </w:r>
          </w:p>
          <w:p>
            <w:pPr>
              <w:spacing w:line="276"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2）投标人获得省级（或以上）行政部门颁发的创新型中小企业称号，提供政府行政部门公示的清单截图，有得2分，无不得分；</w:t>
            </w:r>
          </w:p>
          <w:p>
            <w:pPr>
              <w:spacing w:line="276"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3）投标人或投标产品生产厂家通过GB/T27922-2011《商品售后服务评价体系》认证，认证范围包含有实验室家具，提供五星级《服务认证证书》，有得2分，无不得分。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5</w:t>
            </w:r>
          </w:p>
        </w:tc>
        <w:tc>
          <w:tcPr>
            <w:tcW w:w="2426" w:type="dxa"/>
            <w:tcBorders>
              <w:top w:val="single" w:color="000000" w:sz="8" w:space="0"/>
              <w:left w:val="single" w:color="000000" w:sz="8" w:space="0"/>
              <w:bottom w:val="single" w:color="000000" w:sz="8" w:space="0"/>
              <w:right w:val="single" w:color="000000" w:sz="8" w:space="0"/>
            </w:tcBorders>
            <w:vAlign w:val="center"/>
          </w:tcPr>
          <w:p>
            <w:pPr>
              <w:spacing w:line="360" w:lineRule="auto"/>
              <w:jc w:val="center"/>
              <w:rPr>
                <w:rFonts w:hint="eastAsia" w:ascii="宋体" w:hAnsi="宋体" w:eastAsia="宋体" w:cs="宋体"/>
                <w:bCs/>
                <w:sz w:val="24"/>
                <w:szCs w:val="24"/>
              </w:rPr>
            </w:pPr>
            <w:r>
              <w:rPr>
                <w:rFonts w:hint="eastAsia" w:ascii="宋体" w:hAnsi="宋体" w:eastAsia="宋体" w:cs="宋体"/>
                <w:bCs/>
                <w:sz w:val="24"/>
                <w:szCs w:val="24"/>
              </w:rPr>
              <w:t>专利</w:t>
            </w:r>
          </w:p>
        </w:tc>
        <w:tc>
          <w:tcPr>
            <w:tcW w:w="681" w:type="dxa"/>
            <w:tcBorders>
              <w:top w:val="single" w:color="000000" w:sz="8" w:space="0"/>
              <w:left w:val="single" w:color="000000" w:sz="8" w:space="0"/>
              <w:bottom w:val="single" w:color="000000" w:sz="8" w:space="0"/>
              <w:right w:val="single" w:color="000000" w:sz="8" w:space="0"/>
            </w:tcBorders>
            <w:vAlign w:val="center"/>
          </w:tcPr>
          <w:p>
            <w:pPr>
              <w:spacing w:line="360" w:lineRule="auto"/>
              <w:jc w:val="center"/>
              <w:rPr>
                <w:rFonts w:hint="eastAsia" w:ascii="宋体" w:hAnsi="宋体" w:eastAsia="宋体" w:cs="宋体"/>
                <w:bCs/>
                <w:sz w:val="24"/>
                <w:szCs w:val="24"/>
                <w:lang w:eastAsia="zh-CN"/>
              </w:rPr>
            </w:pPr>
            <w:r>
              <w:rPr>
                <w:rFonts w:hint="eastAsia" w:ascii="宋体" w:hAnsi="宋体" w:eastAsia="宋体" w:cs="宋体"/>
                <w:bCs/>
                <w:sz w:val="24"/>
                <w:szCs w:val="24"/>
                <w:lang w:eastAsia="zh-CN"/>
              </w:rPr>
              <w:t>7</w:t>
            </w:r>
          </w:p>
        </w:tc>
        <w:tc>
          <w:tcPr>
            <w:tcW w:w="4784" w:type="dxa"/>
            <w:tcBorders>
              <w:top w:val="single" w:color="000000" w:sz="8" w:space="0"/>
              <w:left w:val="single" w:color="000000" w:sz="8" w:space="0"/>
              <w:bottom w:val="single" w:color="000000" w:sz="8" w:space="0"/>
              <w:right w:val="single" w:color="000000" w:sz="8" w:space="0"/>
            </w:tcBorders>
          </w:tcPr>
          <w:p>
            <w:pPr>
              <w:spacing w:line="276"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投标人获得与本项目实验室家具类相关的专利证书的，每个得1，满分7分。</w:t>
            </w:r>
          </w:p>
          <w:p>
            <w:pPr>
              <w:spacing w:line="276" w:lineRule="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注：专利处于有效期内，需提供专利证书扫描件、在“中国及多国专利审查信息查询系统”的查询页面打印件并加盖公章。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6</w:t>
            </w:r>
          </w:p>
        </w:tc>
        <w:tc>
          <w:tcPr>
            <w:tcW w:w="2426"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免费保修年限</w:t>
            </w:r>
          </w:p>
        </w:tc>
        <w:tc>
          <w:tcPr>
            <w:tcW w:w="681" w:type="dxa"/>
            <w:tcBorders>
              <w:top w:val="single" w:color="000000" w:sz="8" w:space="0"/>
              <w:left w:val="single" w:color="000000" w:sz="8" w:space="0"/>
              <w:bottom w:val="single" w:color="000000" w:sz="8" w:space="0"/>
              <w:right w:val="single" w:color="000000" w:sz="8" w:space="0"/>
            </w:tcBorders>
            <w:vAlign w:val="center"/>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4</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投标人或生产厂家承诺验收合格后保修年限满足最低保修年限要求（1年），得2分；每增加1年得1分，本项最高得4分，不提供承诺不得分。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rPr>
            </w:pPr>
            <w:r>
              <w:rPr>
                <w:rFonts w:hint="eastAsia" w:ascii="宋体" w:hAnsi="宋体" w:eastAsia="宋体" w:cs="宋体"/>
                <w:color w:val="0000FF"/>
                <w:sz w:val="24"/>
                <w:szCs w:val="24"/>
                <w:lang w:eastAsia="zh-CN"/>
              </w:rPr>
              <w:t>3</w:t>
            </w:r>
          </w:p>
        </w:tc>
        <w:tc>
          <w:tcPr>
            <w:tcW w:w="3788" w:type="dxa"/>
            <w:gridSpan w:val="3"/>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rPr>
            </w:pPr>
            <w:r>
              <w:rPr>
                <w:rFonts w:hint="eastAsia" w:ascii="宋体" w:hAnsi="宋体" w:eastAsia="宋体" w:cs="宋体"/>
                <w:color w:val="0000FF"/>
                <w:sz w:val="24"/>
                <w:szCs w:val="24"/>
                <w:lang w:eastAsia="zh-CN"/>
              </w:rPr>
              <w:t>技术</w:t>
            </w:r>
          </w:p>
        </w:tc>
        <w:tc>
          <w:tcPr>
            <w:tcW w:w="4784" w:type="dxa"/>
            <w:tcBorders>
              <w:top w:val="single" w:color="000000" w:sz="8" w:space="0"/>
              <w:left w:val="single" w:color="000000" w:sz="8" w:space="0"/>
              <w:bottom w:val="single" w:color="000000" w:sz="8" w:space="0"/>
              <w:right w:val="single" w:color="000000" w:sz="8" w:space="0"/>
            </w:tcBorders>
            <w:vAlign w:val="center"/>
          </w:tcPr>
          <w:p>
            <w:pPr>
              <w:wordWrap w:val="0"/>
              <w:jc w:val="center"/>
              <w:rPr>
                <w:rFonts w:hint="eastAsia" w:ascii="宋体" w:hAnsi="宋体" w:eastAsia="宋体" w:cs="宋体"/>
                <w:color w:val="0000FF"/>
                <w:sz w:val="24"/>
                <w:szCs w:val="24"/>
              </w:rPr>
            </w:pPr>
            <w:r>
              <w:rPr>
                <w:rFonts w:hint="eastAsia" w:ascii="宋体" w:hAnsi="宋体" w:eastAsia="宋体" w:cs="宋体"/>
                <w:color w:val="0000FF"/>
                <w:sz w:val="24"/>
                <w:szCs w:val="24"/>
                <w:lang w:eastAsia="zh-CN"/>
              </w:rPr>
              <w:t>50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rPr>
            </w:pPr>
          </w:p>
        </w:tc>
        <w:tc>
          <w:tcPr>
            <w:tcW w:w="8572" w:type="dxa"/>
            <w:gridSpan w:val="4"/>
            <w:tcBorders>
              <w:top w:val="single" w:color="000000" w:sz="8" w:space="0"/>
              <w:left w:val="single" w:color="000000" w:sz="8" w:space="0"/>
              <w:bottom w:val="single" w:color="000000" w:sz="8" w:space="0"/>
              <w:right w:val="single" w:color="000000" w:sz="8" w:space="0"/>
            </w:tcBorders>
          </w:tcPr>
          <w:p>
            <w:pPr>
              <w:rPr>
                <w:rFonts w:hint="eastAsia" w:ascii="宋体" w:hAnsi="宋体" w:eastAsia="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color="auto" w:fill="E6EFFA"/>
            <w:vAlign w:val="center"/>
          </w:tcPr>
          <w:p>
            <w:pPr>
              <w:jc w:val="center"/>
              <w:rPr>
                <w:rFonts w:hint="eastAsia" w:ascii="宋体" w:hAnsi="宋体" w:eastAsia="宋体" w:cs="宋体"/>
                <w:color w:val="0000FF"/>
                <w:sz w:val="24"/>
                <w:szCs w:val="24"/>
              </w:rPr>
            </w:pP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序号</w:t>
            </w:r>
          </w:p>
        </w:tc>
        <w:tc>
          <w:tcPr>
            <w:tcW w:w="2426"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评分因素</w:t>
            </w: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权重</w:t>
            </w:r>
          </w:p>
        </w:tc>
        <w:tc>
          <w:tcPr>
            <w:tcW w:w="4784" w:type="dxa"/>
            <w:tcBorders>
              <w:top w:val="outset" w:color="000000" w:sz="6" w:space="0"/>
              <w:left w:val="outset" w:color="000000" w:sz="6" w:space="0"/>
              <w:bottom w:val="outset" w:color="000000" w:sz="6" w:space="0"/>
              <w:right w:val="outset" w:color="000000" w:sz="6" w:space="0"/>
            </w:tcBorders>
            <w:shd w:val="clear" w:color="auto" w:fill="E6EFFA"/>
            <w:vAlign w:val="center"/>
          </w:tcPr>
          <w:p>
            <w:pPr>
              <w:wordWrap w:val="0"/>
              <w:jc w:val="center"/>
              <w:rPr>
                <w:rFonts w:hint="eastAsia" w:ascii="宋体" w:hAnsi="宋体" w:eastAsia="宋体" w:cs="宋体"/>
                <w:sz w:val="24"/>
                <w:szCs w:val="24"/>
              </w:rPr>
            </w:pPr>
            <w:r>
              <w:rPr>
                <w:rFonts w:hint="eastAsia" w:ascii="宋体" w:hAnsi="宋体" w:eastAsia="宋体" w:cs="宋体"/>
                <w:sz w:val="24"/>
                <w:szCs w:val="24"/>
                <w:lang w:eastAsia="zh-CN"/>
              </w:rPr>
              <w:t>评分准则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1</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技术参数的响应情况</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0</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对用户需求书的项目清单“技术指标”中“▲”技术参数的响应情况进行评审：</w:t>
            </w:r>
          </w:p>
          <w:p>
            <w:pPr>
              <w:numPr>
                <w:ilvl w:val="0"/>
                <w:numId w:val="4"/>
              </w:num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全部“▲”技术参数响应为“正偏离”或“符合”的，得</w:t>
            </w: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分，每一项“▲”技术参数响应为“负偏离”的，扣</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分。本项最高得</w:t>
            </w: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分。</w:t>
            </w:r>
          </w:p>
          <w:p>
            <w:pPr>
              <w:numPr>
                <w:ilvl w:val="0"/>
                <w:numId w:val="4"/>
              </w:num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val="en-US" w:eastAsia="zh-CN"/>
              </w:rPr>
              <w:t>其他非</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技术参数全部满足得10分，每一项不满足的扣1分，扣完为止。</w:t>
            </w:r>
            <w:r>
              <w:rPr>
                <w:rFonts w:hint="eastAsia" w:ascii="宋体" w:hAnsi="宋体" w:eastAsia="宋体" w:cs="宋体"/>
                <w:sz w:val="24"/>
                <w:szCs w:val="24"/>
                <w:lang w:eastAsia="zh-CN"/>
              </w:rPr>
              <w:t>本项最高得</w:t>
            </w: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分。</w:t>
            </w:r>
          </w:p>
          <w:p>
            <w:pPr>
              <w:numPr>
                <w:ilvl w:val="0"/>
                <w:numId w:val="0"/>
              </w:num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备注：除用户需求书有特殊说明外，投标人应针对本项目用户需求书中技术参数响应情况在技术条款响应表中响应，要求提供检测报告或</w:t>
            </w:r>
            <w:r>
              <w:rPr>
                <w:rFonts w:hint="eastAsia" w:ascii="宋体" w:hAnsi="宋体" w:eastAsia="宋体" w:cs="宋体"/>
                <w:sz w:val="24"/>
                <w:szCs w:val="24"/>
                <w:lang w:val="en-US" w:eastAsia="zh-CN"/>
              </w:rPr>
              <w:t>产品彩页</w:t>
            </w:r>
            <w:r>
              <w:rPr>
                <w:rFonts w:hint="eastAsia" w:ascii="宋体" w:hAnsi="宋体" w:eastAsia="宋体" w:cs="宋体"/>
                <w:sz w:val="24"/>
                <w:szCs w:val="24"/>
                <w:lang w:eastAsia="zh-CN"/>
              </w:rPr>
              <w:t>证明材料的，投标时需在投标文件中提供。</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2</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制造实施方案、安装、验收服务实施方案）</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lang w:val="en-US"/>
              </w:rPr>
            </w:pPr>
            <w:r>
              <w:rPr>
                <w:rFonts w:hint="eastAsia" w:ascii="宋体" w:hAnsi="宋体" w:eastAsia="宋体" w:cs="宋体"/>
                <w:sz w:val="24"/>
                <w:szCs w:val="24"/>
                <w:lang w:val="en-US" w:eastAsia="zh-CN"/>
              </w:rPr>
              <w:t>13</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针对本项目制造实施方案（具体到各种家具的日生产数量、交货进度计划安排、结合自身生产产能制定完成本项目的完整工期）、制定针对不同家具的详细安装计划安排表、安装人员投入、验收试验实施方案进行评分：1）制造实施方案计划完整详细、合理、满足或优于用户实际需求的，得1</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分；2）制造实施方案计划较完整详细、基本合理和能满足用户需求的，得</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分；3）制造实施方案计划过于简单，不太合理，不全能满足用户需求或无方案说明的，得</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分。4）制造实施方案计划不合理，不能满足用户需求或无方案说明的，得0分。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3</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深化设计方案</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4784" w:type="dxa"/>
            <w:tcBorders>
              <w:top w:val="single" w:color="000000" w:sz="8" w:space="0"/>
              <w:left w:val="single" w:color="000000" w:sz="8" w:space="0"/>
              <w:bottom w:val="single" w:color="000000" w:sz="8" w:space="0"/>
              <w:right w:val="single" w:color="000000" w:sz="8" w:space="0"/>
            </w:tcBorders>
          </w:tcPr>
          <w:p>
            <w:pPr>
              <w:widowControl w:val="0"/>
              <w:autoSpaceDE w:val="0"/>
              <w:autoSpaceDN w:val="0"/>
              <w:adjustRightInd w:val="0"/>
              <w:spacing w:line="276"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根据各投标人提供的项目深化设计方案（包括但不限于实验室台柜平面图、台柜单件图（按各个房间功能要求）等）进行综合评审： 1.实验室台柜布局合理，能满足使用要求，台柜大气、款式新颖功能完善的，得</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分； 2.实验室台柜布局基本合理，台柜形象一般、功能基本齐全的，得</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分； 3.实验室台柜布局不是很合理、款式陈旧、功能也不完善的，得1分； 4.未提供方案的，不得分。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4</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rPr>
            </w:pPr>
            <w:r>
              <w:rPr>
                <w:rFonts w:hint="eastAsia" w:ascii="宋体" w:hAnsi="宋体" w:eastAsia="宋体" w:cs="宋体"/>
                <w:sz w:val="24"/>
                <w:szCs w:val="24"/>
                <w:lang w:eastAsia="zh-CN"/>
              </w:rPr>
              <w:t>投入设备</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4</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对于本项目投入的生产设备的情况：投标人或生产厂家完成本次项目所需的基本生产制作设备：（1）具备数控冲床、数控折弯机类设备，得</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分；（2）具备实验室设备配件辊压成型类设备，得 2分；本项满分得4分。注：须提供设备购置的有效发票复印件或租赁合同复印件(发票抬头需与投标人或生产厂家名称一致)、设备最新现况照片作为证明材料（加盖公章），佐证材料不齐全不得分。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hint="eastAsia" w:ascii="宋体" w:hAnsi="宋体" w:eastAsia="宋体" w:cs="宋体"/>
                <w:color w:val="0000FF"/>
                <w:sz w:val="24"/>
                <w:szCs w:val="24"/>
                <w:lang w:eastAsia="zh-CN"/>
              </w:rPr>
            </w:pP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rPr>
            </w:pPr>
            <w:r>
              <w:rPr>
                <w:rFonts w:hint="eastAsia" w:ascii="宋体" w:hAnsi="宋体" w:eastAsia="宋体" w:cs="宋体"/>
                <w:sz w:val="24"/>
                <w:szCs w:val="24"/>
                <w:lang w:eastAsia="zh-CN"/>
              </w:rPr>
              <w:t>5</w:t>
            </w:r>
          </w:p>
        </w:tc>
        <w:tc>
          <w:tcPr>
            <w:tcW w:w="2426"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rPr>
            </w:pPr>
            <w:r>
              <w:rPr>
                <w:rFonts w:hint="eastAsia" w:ascii="宋体" w:hAnsi="宋体" w:eastAsia="宋体" w:cs="宋体"/>
                <w:sz w:val="24"/>
                <w:szCs w:val="24"/>
                <w:lang w:eastAsia="zh-CN"/>
              </w:rPr>
              <w:t>售后服务方案</w:t>
            </w:r>
          </w:p>
        </w:tc>
        <w:tc>
          <w:tcPr>
            <w:tcW w:w="681" w:type="dxa"/>
            <w:tcBorders>
              <w:top w:val="single" w:color="000000" w:sz="8" w:space="0"/>
              <w:left w:val="single" w:color="000000" w:sz="8" w:space="0"/>
              <w:bottom w:val="single" w:color="000000" w:sz="8" w:space="0"/>
              <w:right w:val="single" w:color="000000" w:sz="8" w:space="0"/>
            </w:tcBorders>
          </w:tcPr>
          <w:p>
            <w:pPr>
              <w:wordWrap w:val="0"/>
              <w:jc w:val="center"/>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5</w:t>
            </w:r>
          </w:p>
        </w:tc>
        <w:tc>
          <w:tcPr>
            <w:tcW w:w="4784" w:type="dxa"/>
            <w:tcBorders>
              <w:top w:val="single" w:color="000000" w:sz="8" w:space="0"/>
              <w:left w:val="single" w:color="000000" w:sz="8" w:space="0"/>
              <w:bottom w:val="single" w:color="000000" w:sz="8" w:space="0"/>
              <w:right w:val="single" w:color="000000" w:sz="8" w:space="0"/>
            </w:tcBorders>
          </w:tcPr>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一、根据投标人的售后服务方案进行评分：1）售后服务方案详尽周全，内容切实非常合理可行，得</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分；2）售后服务方案详尽周全，内容合理可行，得</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分；3）售后服务方案简略，内容基本合理可行，得1分。投标人需提供售后服务方案，不提供不得分。</w:t>
            </w:r>
          </w:p>
          <w:p>
            <w:pPr>
              <w:wordWrap w:val="0"/>
              <w:textAlignment w:val="top"/>
              <w:rPr>
                <w:rFonts w:hint="eastAsia" w:ascii="宋体" w:hAnsi="宋体" w:eastAsia="宋体" w:cs="宋体"/>
                <w:sz w:val="24"/>
                <w:szCs w:val="24"/>
                <w:lang w:eastAsia="zh-CN"/>
              </w:rPr>
            </w:pPr>
            <w:r>
              <w:rPr>
                <w:rFonts w:hint="eastAsia" w:ascii="宋体" w:hAnsi="宋体" w:eastAsia="宋体" w:cs="宋体"/>
                <w:sz w:val="24"/>
                <w:szCs w:val="24"/>
                <w:lang w:eastAsia="zh-CN"/>
              </w:rPr>
              <w:t>二、售后人员配备充足（售后服务团队中至少6人）得2分，投标文件中提供投标截止日期前连续3个月社保证明及真实有效的售后服务资格证书作为加分依据。</w:t>
            </w:r>
          </w:p>
        </w:tc>
      </w:tr>
    </w:tbl>
    <w:p>
      <w:pPr>
        <w:keepNext w:val="0"/>
        <w:keepLines w:val="0"/>
        <w:widowControl/>
        <w:numPr>
          <w:ilvl w:val="0"/>
          <w:numId w:val="0"/>
        </w:numPr>
        <w:suppressLineNumbers w:val="0"/>
        <w:jc w:val="left"/>
        <w:rPr>
          <w:rFonts w:hint="default" w:ascii="宋体" w:hAnsi="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center"/>
        <w:textAlignment w:val="auto"/>
        <w:rPr>
          <w:rFonts w:hint="default"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2"/>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4"/>
          <w:szCs w:val="24"/>
          <w:highlight w:val="none"/>
          <w:lang w:val="en-US"/>
        </w:rPr>
      </w:pPr>
      <w:r>
        <w:rPr>
          <w:rFonts w:hint="eastAsia" w:ascii="宋体" w:hAnsi="宋体" w:eastAsia="宋体" w:cs="宋体"/>
          <w:color w:val="auto"/>
          <w:kern w:val="0"/>
          <w:sz w:val="24"/>
          <w:szCs w:val="24"/>
          <w:highlight w:val="none"/>
          <w:lang w:val="en-US" w:eastAsia="zh-CN"/>
        </w:rPr>
        <w:t>报价一览表</w:t>
      </w:r>
    </w:p>
    <w:tbl>
      <w:tblPr>
        <w:tblStyle w:val="16"/>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pStyle w:val="13"/>
        <w:keepNext w:val="0"/>
        <w:keepLines w:val="0"/>
        <w:pageBreakBefore w:val="0"/>
        <w:widowControl/>
        <w:numPr>
          <w:ilvl w:val="0"/>
          <w:numId w:val="5"/>
        </w:numPr>
        <w:suppressLineNumbers w:val="0"/>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本次报价</w:t>
      </w:r>
      <w:r>
        <w:rPr>
          <w:rFonts w:hint="eastAsia" w:ascii="宋体" w:hAnsi="宋体" w:cs="宋体"/>
          <w:color w:val="auto"/>
          <w:kern w:val="0"/>
          <w:sz w:val="24"/>
          <w:szCs w:val="24"/>
          <w:highlight w:val="none"/>
          <w:lang w:val="en-US" w:eastAsia="zh-CN"/>
        </w:rPr>
        <w:t>总价不得超过最高限价否则视为无效报价。</w:t>
      </w:r>
      <w:r>
        <w:rPr>
          <w:rFonts w:hint="eastAsia" w:ascii="宋体" w:hAnsi="宋体" w:eastAsia="宋体" w:cs="宋体"/>
          <w:color w:val="auto"/>
          <w:kern w:val="0"/>
          <w:sz w:val="24"/>
          <w:szCs w:val="24"/>
          <w:highlight w:val="none"/>
          <w:lang w:val="en-US" w:eastAsia="zh-CN"/>
        </w:rPr>
        <w:t>请供应商充分考虑。</w:t>
      </w:r>
    </w:p>
    <w:p>
      <w:pPr>
        <w:pStyle w:val="13"/>
        <w:keepNext w:val="0"/>
        <w:keepLines w:val="0"/>
        <w:pageBreakBefore w:val="0"/>
        <w:widowControl/>
        <w:numPr>
          <w:ilvl w:val="0"/>
          <w:numId w:val="5"/>
        </w:numPr>
        <w:suppressLineNumbers w:val="0"/>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pStyle w:val="13"/>
        <w:keepNext w:val="0"/>
        <w:keepLines w:val="0"/>
        <w:pageBreakBefore w:val="0"/>
        <w:widowControl/>
        <w:numPr>
          <w:ilvl w:val="0"/>
          <w:numId w:val="5"/>
        </w:numPr>
        <w:suppressLineNumbers w:val="0"/>
        <w:kinsoku/>
        <w:wordWrap/>
        <w:overflowPunct/>
        <w:topLinePunct w:val="0"/>
        <w:autoSpaceDE/>
        <w:autoSpaceDN/>
        <w:bidi w:val="0"/>
        <w:adjustRightInd/>
        <w:snapToGrid/>
        <w:spacing w:line="360" w:lineRule="auto"/>
        <w:ind w:left="0" w:firstLine="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p>
    <w:p>
      <w:pPr>
        <w:pStyle w:val="11"/>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6"/>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8"/>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autoSpaceDE/>
        <w:autoSpaceDN/>
        <w:bidi w:val="0"/>
        <w:spacing w:beforeAutospacing="0" w:afterAutospacing="0" w:line="360" w:lineRule="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8"/>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b/>
          <w:bCs/>
          <w:color w:val="auto"/>
          <w:sz w:val="24"/>
          <w:szCs w:val="24"/>
          <w:highlight w:val="none"/>
        </w:rPr>
      </w:pPr>
    </w:p>
    <w:p>
      <w:pPr>
        <w:pStyle w:val="22"/>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eastAsia" w:ascii="宋体" w:hAnsi="宋体" w:eastAsia="宋体" w:cs="宋体"/>
          <w:b/>
          <w:bCs/>
          <w:color w:val="auto"/>
          <w:sz w:val="24"/>
          <w:szCs w:val="24"/>
          <w:highlight w:val="none"/>
          <w:lang w:val="en-US" w:eastAsia="zh-CN"/>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keepNext w:val="0"/>
        <w:keepLines w:val="0"/>
        <w:pageBreakBefore w:val="0"/>
        <w:kinsoku/>
        <w:wordWrap/>
        <w:overflowPunct/>
        <w:topLinePunct w:val="0"/>
        <w:autoSpaceDE/>
        <w:autoSpaceDN/>
        <w:bidi w:val="0"/>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具有履行合同所必须的设备和专业技术能力</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2"/>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7"/>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7"/>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7"/>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7"/>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7"/>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7"/>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7"/>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7"/>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7"/>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7"/>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7"/>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pStyle w:val="11"/>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5"/>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pStyle w:val="15"/>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pacing w:beforeAutospacing="0" w:line="360" w:lineRule="auto"/>
        <w:ind w:firstLine="6240" w:firstLineChars="2600"/>
        <w:jc w:val="left"/>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rPr>
      </w:pPr>
    </w:p>
    <w:sectPr>
      <w:headerReference r:id="rId3" w:type="default"/>
      <w:footerReference r:id="rId4" w:type="default"/>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left"/>
      <w:rPr>
        <w:rFonts w:hint="eastAsia" w:eastAsia="宋体"/>
        <w:lang w:eastAsia="zh-CN"/>
      </w:rPr>
    </w:pPr>
  </w:p>
  <w:p>
    <w:pPr>
      <w:pStyle w:val="10"/>
      <w:pBdr>
        <w:bottom w:val="none" w:color="auto" w:sz="0" w:space="0"/>
      </w:pBdr>
      <w:jc w:val="left"/>
      <w:rPr>
        <w:rFonts w:hint="eastAsia" w:eastAsia="宋体"/>
        <w:lang w:eastAsia="zh-CN"/>
      </w:rPr>
    </w:pPr>
  </w:p>
  <w:p>
    <w:pPr>
      <w:pStyle w:val="10"/>
      <w:pBdr>
        <w:bottom w:val="none" w:color="auto" w:sz="0" w:space="0"/>
      </w:pBdr>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A78CFE"/>
    <w:multiLevelType w:val="singleLevel"/>
    <w:tmpl w:val="8BA78CFE"/>
    <w:lvl w:ilvl="0" w:tentative="0">
      <w:start w:val="9"/>
      <w:numFmt w:val="decimal"/>
      <w:lvlText w:val="%1."/>
      <w:lvlJc w:val="left"/>
      <w:pPr>
        <w:tabs>
          <w:tab w:val="left" w:pos="312"/>
        </w:tabs>
      </w:p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B4E21CBA"/>
    <w:multiLevelType w:val="singleLevel"/>
    <w:tmpl w:val="B4E21CBA"/>
    <w:lvl w:ilvl="0" w:tentative="0">
      <w:start w:val="1"/>
      <w:numFmt w:val="decimal"/>
      <w:lvlText w:val="%1."/>
      <w:lvlJc w:val="left"/>
      <w:pPr>
        <w:tabs>
          <w:tab w:val="left" w:pos="312"/>
        </w:tabs>
      </w:pPr>
    </w:lvl>
  </w:abstractNum>
  <w:abstractNum w:abstractNumId="3">
    <w:nsid w:val="E66A6062"/>
    <w:multiLevelType w:val="singleLevel"/>
    <w:tmpl w:val="E66A6062"/>
    <w:lvl w:ilvl="0" w:tentative="0">
      <w:start w:val="1"/>
      <w:numFmt w:val="decimal"/>
      <w:lvlText w:val="%1."/>
      <w:lvlJc w:val="left"/>
      <w:pPr>
        <w:tabs>
          <w:tab w:val="left" w:pos="312"/>
        </w:tabs>
      </w:pPr>
    </w:lvl>
  </w:abstractNum>
  <w:abstractNum w:abstractNumId="4">
    <w:nsid w:val="EAA78CE3"/>
    <w:multiLevelType w:val="singleLevel"/>
    <w:tmpl w:val="EAA78CE3"/>
    <w:lvl w:ilvl="0" w:tentative="0">
      <w:start w:val="8"/>
      <w:numFmt w:val="chineseCounting"/>
      <w:suff w:val="nothing"/>
      <w:lvlText w:val="%1、"/>
      <w:lvlJc w:val="left"/>
      <w:rPr>
        <w:rFonts w:hint="eastAsia"/>
      </w:rPr>
    </w:lvl>
  </w:abstractNum>
  <w:abstractNum w:abstractNumId="5">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abstractNum w:abstractNumId="6">
    <w:nsid w:val="5DB7D34A"/>
    <w:multiLevelType w:val="singleLevel"/>
    <w:tmpl w:val="5DB7D34A"/>
    <w:lvl w:ilvl="0" w:tentative="0">
      <w:start w:val="1"/>
      <w:numFmt w:val="decimal"/>
      <w:suff w:val="nothing"/>
      <w:lvlText w:val="%1、"/>
      <w:lvlJc w:val="left"/>
    </w:lvl>
  </w:abstractNum>
  <w:num w:numId="1">
    <w:abstractNumId w:val="3"/>
  </w:num>
  <w:num w:numId="2">
    <w:abstractNumId w:val="0"/>
  </w:num>
  <w:num w:numId="3">
    <w:abstractNumId w:val="4"/>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051017"/>
    <w:rsid w:val="006548B4"/>
    <w:rsid w:val="00737527"/>
    <w:rsid w:val="00984987"/>
    <w:rsid w:val="00FD7A4E"/>
    <w:rsid w:val="01582E9F"/>
    <w:rsid w:val="022561DB"/>
    <w:rsid w:val="023E1291"/>
    <w:rsid w:val="024B5F91"/>
    <w:rsid w:val="02592AC5"/>
    <w:rsid w:val="02E53A75"/>
    <w:rsid w:val="03C142B6"/>
    <w:rsid w:val="0423435A"/>
    <w:rsid w:val="04831DF5"/>
    <w:rsid w:val="04C176DC"/>
    <w:rsid w:val="0533298B"/>
    <w:rsid w:val="05AC5F14"/>
    <w:rsid w:val="05CD03BE"/>
    <w:rsid w:val="05F477B7"/>
    <w:rsid w:val="07AF5FEE"/>
    <w:rsid w:val="088710D9"/>
    <w:rsid w:val="088B4FBA"/>
    <w:rsid w:val="094F5478"/>
    <w:rsid w:val="09A70AB9"/>
    <w:rsid w:val="09E66AD6"/>
    <w:rsid w:val="09F4147B"/>
    <w:rsid w:val="0A277760"/>
    <w:rsid w:val="0ACF324E"/>
    <w:rsid w:val="0B565E48"/>
    <w:rsid w:val="0B5E2A33"/>
    <w:rsid w:val="0C0418A5"/>
    <w:rsid w:val="0C1A446B"/>
    <w:rsid w:val="0CC42C4A"/>
    <w:rsid w:val="0CE1020E"/>
    <w:rsid w:val="0CE5021C"/>
    <w:rsid w:val="0CE90D83"/>
    <w:rsid w:val="0D272843"/>
    <w:rsid w:val="0F1E59DC"/>
    <w:rsid w:val="0F4628CF"/>
    <w:rsid w:val="0F53554E"/>
    <w:rsid w:val="0F71729A"/>
    <w:rsid w:val="0F914A2F"/>
    <w:rsid w:val="0FD4292A"/>
    <w:rsid w:val="10331CA1"/>
    <w:rsid w:val="10863CAA"/>
    <w:rsid w:val="109819C6"/>
    <w:rsid w:val="10DB653E"/>
    <w:rsid w:val="112F7D4C"/>
    <w:rsid w:val="114C276E"/>
    <w:rsid w:val="12173925"/>
    <w:rsid w:val="129243DD"/>
    <w:rsid w:val="12BB52A2"/>
    <w:rsid w:val="1342037A"/>
    <w:rsid w:val="13E76168"/>
    <w:rsid w:val="14706D5B"/>
    <w:rsid w:val="14736B9B"/>
    <w:rsid w:val="15517106"/>
    <w:rsid w:val="15855BCE"/>
    <w:rsid w:val="15B71161"/>
    <w:rsid w:val="15D00CD9"/>
    <w:rsid w:val="15D20959"/>
    <w:rsid w:val="16795C6E"/>
    <w:rsid w:val="16EE2D85"/>
    <w:rsid w:val="177F6166"/>
    <w:rsid w:val="18711485"/>
    <w:rsid w:val="18C87522"/>
    <w:rsid w:val="192B394B"/>
    <w:rsid w:val="196B01BF"/>
    <w:rsid w:val="19ED7494"/>
    <w:rsid w:val="1A8B0593"/>
    <w:rsid w:val="1AC67E61"/>
    <w:rsid w:val="1B1D07A3"/>
    <w:rsid w:val="1B9907D4"/>
    <w:rsid w:val="1C151423"/>
    <w:rsid w:val="1C962C76"/>
    <w:rsid w:val="1CBB7632"/>
    <w:rsid w:val="1D7B096A"/>
    <w:rsid w:val="1D7D134A"/>
    <w:rsid w:val="1DC80A69"/>
    <w:rsid w:val="1E9514A0"/>
    <w:rsid w:val="1F051509"/>
    <w:rsid w:val="1FD72787"/>
    <w:rsid w:val="20963373"/>
    <w:rsid w:val="20AF2A2B"/>
    <w:rsid w:val="20DA106C"/>
    <w:rsid w:val="20EF1296"/>
    <w:rsid w:val="20F75157"/>
    <w:rsid w:val="212B1E31"/>
    <w:rsid w:val="21362EB0"/>
    <w:rsid w:val="2161289E"/>
    <w:rsid w:val="21AD5563"/>
    <w:rsid w:val="21F50B43"/>
    <w:rsid w:val="231A50A3"/>
    <w:rsid w:val="23305048"/>
    <w:rsid w:val="236E081B"/>
    <w:rsid w:val="2487307B"/>
    <w:rsid w:val="24E44663"/>
    <w:rsid w:val="2508096D"/>
    <w:rsid w:val="25101CDA"/>
    <w:rsid w:val="25550458"/>
    <w:rsid w:val="2559103D"/>
    <w:rsid w:val="255D565D"/>
    <w:rsid w:val="25685003"/>
    <w:rsid w:val="256C23F4"/>
    <w:rsid w:val="258E03AA"/>
    <w:rsid w:val="25C97BEE"/>
    <w:rsid w:val="26DB0FF6"/>
    <w:rsid w:val="26E41B28"/>
    <w:rsid w:val="274041B2"/>
    <w:rsid w:val="281955CF"/>
    <w:rsid w:val="281D195D"/>
    <w:rsid w:val="290D4131"/>
    <w:rsid w:val="29266E1A"/>
    <w:rsid w:val="295D4F3D"/>
    <w:rsid w:val="2A044599"/>
    <w:rsid w:val="2A0F7B8F"/>
    <w:rsid w:val="2B05240B"/>
    <w:rsid w:val="2B4470EF"/>
    <w:rsid w:val="2B7C00E6"/>
    <w:rsid w:val="2BF4266B"/>
    <w:rsid w:val="2C38364A"/>
    <w:rsid w:val="2C9E09EC"/>
    <w:rsid w:val="2CB371D5"/>
    <w:rsid w:val="2CF3776A"/>
    <w:rsid w:val="2D0C3CF4"/>
    <w:rsid w:val="2D611200"/>
    <w:rsid w:val="2D7F4851"/>
    <w:rsid w:val="2E9A2201"/>
    <w:rsid w:val="2F7F199B"/>
    <w:rsid w:val="2FE931A8"/>
    <w:rsid w:val="30054FC2"/>
    <w:rsid w:val="30806B9E"/>
    <w:rsid w:val="30B43B75"/>
    <w:rsid w:val="31650772"/>
    <w:rsid w:val="31C845BB"/>
    <w:rsid w:val="31E9143D"/>
    <w:rsid w:val="31FF6F86"/>
    <w:rsid w:val="33886860"/>
    <w:rsid w:val="339D556E"/>
    <w:rsid w:val="33D41194"/>
    <w:rsid w:val="34105771"/>
    <w:rsid w:val="34A55F9D"/>
    <w:rsid w:val="34BE33D7"/>
    <w:rsid w:val="35344E80"/>
    <w:rsid w:val="35B83942"/>
    <w:rsid w:val="35DB18E9"/>
    <w:rsid w:val="361A126B"/>
    <w:rsid w:val="363E3B8C"/>
    <w:rsid w:val="36545D30"/>
    <w:rsid w:val="36BF0CFE"/>
    <w:rsid w:val="36EC758F"/>
    <w:rsid w:val="37671CCB"/>
    <w:rsid w:val="37B26C16"/>
    <w:rsid w:val="382156FA"/>
    <w:rsid w:val="383D10D3"/>
    <w:rsid w:val="38FA4D0A"/>
    <w:rsid w:val="38FC6146"/>
    <w:rsid w:val="39A43E9E"/>
    <w:rsid w:val="3A77066E"/>
    <w:rsid w:val="3BDD1C9A"/>
    <w:rsid w:val="3C6234CA"/>
    <w:rsid w:val="3C712D37"/>
    <w:rsid w:val="3CB36193"/>
    <w:rsid w:val="3CDF7907"/>
    <w:rsid w:val="3D4E7AA9"/>
    <w:rsid w:val="3D5123A5"/>
    <w:rsid w:val="3E3C3D7F"/>
    <w:rsid w:val="3E991074"/>
    <w:rsid w:val="3F0F3FAB"/>
    <w:rsid w:val="3F3D74FE"/>
    <w:rsid w:val="3FBC281F"/>
    <w:rsid w:val="40B90D30"/>
    <w:rsid w:val="41AD16C5"/>
    <w:rsid w:val="432A1B18"/>
    <w:rsid w:val="43E06BC0"/>
    <w:rsid w:val="450B6A83"/>
    <w:rsid w:val="453413AE"/>
    <w:rsid w:val="4537221B"/>
    <w:rsid w:val="45631693"/>
    <w:rsid w:val="46263727"/>
    <w:rsid w:val="463B4047"/>
    <w:rsid w:val="480004B0"/>
    <w:rsid w:val="480623B9"/>
    <w:rsid w:val="481E41DD"/>
    <w:rsid w:val="48A06651"/>
    <w:rsid w:val="49492114"/>
    <w:rsid w:val="495777FB"/>
    <w:rsid w:val="4A7009E7"/>
    <w:rsid w:val="4AF20173"/>
    <w:rsid w:val="4B0C6E2E"/>
    <w:rsid w:val="4B2655D3"/>
    <w:rsid w:val="4BAE772A"/>
    <w:rsid w:val="4BB17333"/>
    <w:rsid w:val="4BE53A39"/>
    <w:rsid w:val="4C4A7B3B"/>
    <w:rsid w:val="4C4F073F"/>
    <w:rsid w:val="4C586E50"/>
    <w:rsid w:val="4C8B4D21"/>
    <w:rsid w:val="4C8D6025"/>
    <w:rsid w:val="4CC74D5C"/>
    <w:rsid w:val="4CEA1A71"/>
    <w:rsid w:val="4DC3281F"/>
    <w:rsid w:val="4DFC16FF"/>
    <w:rsid w:val="4E1F525A"/>
    <w:rsid w:val="4EF241A3"/>
    <w:rsid w:val="4F2D7873"/>
    <w:rsid w:val="4FEE5732"/>
    <w:rsid w:val="50066CA3"/>
    <w:rsid w:val="504533AC"/>
    <w:rsid w:val="50485D02"/>
    <w:rsid w:val="50715E7F"/>
    <w:rsid w:val="518B59E0"/>
    <w:rsid w:val="5244176A"/>
    <w:rsid w:val="52552ABF"/>
    <w:rsid w:val="52622C38"/>
    <w:rsid w:val="52F52B89"/>
    <w:rsid w:val="530458E8"/>
    <w:rsid w:val="541532F3"/>
    <w:rsid w:val="54190937"/>
    <w:rsid w:val="544669FD"/>
    <w:rsid w:val="54F21968"/>
    <w:rsid w:val="550310E3"/>
    <w:rsid w:val="552419F1"/>
    <w:rsid w:val="556A2BB0"/>
    <w:rsid w:val="55B66898"/>
    <w:rsid w:val="55BB16B6"/>
    <w:rsid w:val="56C57A34"/>
    <w:rsid w:val="572B3928"/>
    <w:rsid w:val="574F6249"/>
    <w:rsid w:val="576B5B9C"/>
    <w:rsid w:val="57AD74C8"/>
    <w:rsid w:val="58071A1F"/>
    <w:rsid w:val="59695B75"/>
    <w:rsid w:val="599B1691"/>
    <w:rsid w:val="5A3115B5"/>
    <w:rsid w:val="5B584E6A"/>
    <w:rsid w:val="5C86411D"/>
    <w:rsid w:val="5CEF3C87"/>
    <w:rsid w:val="5D810FF7"/>
    <w:rsid w:val="5E736001"/>
    <w:rsid w:val="5E810B9A"/>
    <w:rsid w:val="5E8575A0"/>
    <w:rsid w:val="5ECC5796"/>
    <w:rsid w:val="5F3F2478"/>
    <w:rsid w:val="60081EA4"/>
    <w:rsid w:val="606964BC"/>
    <w:rsid w:val="60AB7D42"/>
    <w:rsid w:val="616E24E6"/>
    <w:rsid w:val="619A462F"/>
    <w:rsid w:val="62312A9D"/>
    <w:rsid w:val="63545F00"/>
    <w:rsid w:val="635C21B5"/>
    <w:rsid w:val="641963B7"/>
    <w:rsid w:val="64202DC6"/>
    <w:rsid w:val="64480A16"/>
    <w:rsid w:val="656D125A"/>
    <w:rsid w:val="671B6946"/>
    <w:rsid w:val="674B4506"/>
    <w:rsid w:val="67E020B0"/>
    <w:rsid w:val="67FA45E8"/>
    <w:rsid w:val="6841159B"/>
    <w:rsid w:val="687F107F"/>
    <w:rsid w:val="68822004"/>
    <w:rsid w:val="68916D9B"/>
    <w:rsid w:val="6A3142C9"/>
    <w:rsid w:val="6A6F1DC6"/>
    <w:rsid w:val="6B1C774A"/>
    <w:rsid w:val="6B405AFC"/>
    <w:rsid w:val="6BD8207B"/>
    <w:rsid w:val="6C8C2E23"/>
    <w:rsid w:val="6CA17546"/>
    <w:rsid w:val="6D870634"/>
    <w:rsid w:val="6E832239"/>
    <w:rsid w:val="6F7F20D5"/>
    <w:rsid w:val="6FC43CA6"/>
    <w:rsid w:val="6FCC6779"/>
    <w:rsid w:val="71A12E7C"/>
    <w:rsid w:val="71D8190B"/>
    <w:rsid w:val="71DE05CD"/>
    <w:rsid w:val="72740C55"/>
    <w:rsid w:val="72F06D27"/>
    <w:rsid w:val="7328385A"/>
    <w:rsid w:val="732D57FF"/>
    <w:rsid w:val="735536BC"/>
    <w:rsid w:val="739065EB"/>
    <w:rsid w:val="73DF11F6"/>
    <w:rsid w:val="73F26EC8"/>
    <w:rsid w:val="74352E35"/>
    <w:rsid w:val="74410750"/>
    <w:rsid w:val="74671085"/>
    <w:rsid w:val="75E44CC4"/>
    <w:rsid w:val="75F21E91"/>
    <w:rsid w:val="761B77D2"/>
    <w:rsid w:val="76880984"/>
    <w:rsid w:val="76DE6D2F"/>
    <w:rsid w:val="77E2713E"/>
    <w:rsid w:val="782A0E88"/>
    <w:rsid w:val="78A07BDA"/>
    <w:rsid w:val="78B64B97"/>
    <w:rsid w:val="790A4749"/>
    <w:rsid w:val="79CC7F63"/>
    <w:rsid w:val="7AB14371"/>
    <w:rsid w:val="7AB46BDC"/>
    <w:rsid w:val="7B5209E2"/>
    <w:rsid w:val="7BA577E9"/>
    <w:rsid w:val="7C28453F"/>
    <w:rsid w:val="7C5A278F"/>
    <w:rsid w:val="7C6543A4"/>
    <w:rsid w:val="7CA56C98"/>
    <w:rsid w:val="7CE309DD"/>
    <w:rsid w:val="7D1A2BCE"/>
    <w:rsid w:val="7D512D27"/>
    <w:rsid w:val="7D566EE8"/>
    <w:rsid w:val="7E345685"/>
    <w:rsid w:val="7E477DBC"/>
    <w:rsid w:val="7E6D09FF"/>
    <w:rsid w:val="7F460939"/>
    <w:rsid w:val="7FDB4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paragraph" w:styleId="4">
    <w:name w:val="heading 4"/>
    <w:basedOn w:val="1"/>
    <w:next w:val="1"/>
    <w:autoRedefine/>
    <w:qFormat/>
    <w:uiPriority w:val="0"/>
    <w:pPr>
      <w:keepNext/>
      <w:keepLines/>
      <w:spacing w:before="280" w:after="290" w:line="372" w:lineRule="auto"/>
      <w:outlineLvl w:val="3"/>
    </w:pPr>
    <w:rPr>
      <w:rFonts w:ascii="Arial" w:hAnsi="Arial" w:eastAsia="黑体"/>
      <w:b/>
      <w:bCs/>
      <w:sz w:val="28"/>
      <w:szCs w:val="28"/>
    </w:rPr>
  </w:style>
  <w:style w:type="character" w:default="1" w:styleId="18">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style>
  <w:style w:type="paragraph" w:styleId="5">
    <w:name w:val="Normal Indent"/>
    <w:basedOn w:val="1"/>
    <w:autoRedefine/>
    <w:qFormat/>
    <w:uiPriority w:val="0"/>
    <w:pPr>
      <w:widowControl w:val="0"/>
      <w:spacing w:line="360" w:lineRule="auto"/>
      <w:ind w:firstLine="420" w:firstLineChars="200"/>
      <w:jc w:val="both"/>
    </w:pPr>
    <w:rPr>
      <w:kern w:val="2"/>
      <w:sz w:val="21"/>
    </w:rPr>
  </w:style>
  <w:style w:type="paragraph" w:styleId="6">
    <w:name w:val="annotation text"/>
    <w:basedOn w:val="1"/>
    <w:autoRedefine/>
    <w:qFormat/>
    <w:uiPriority w:val="0"/>
    <w:pPr>
      <w:widowControl w:val="0"/>
    </w:pPr>
    <w:rPr>
      <w:kern w:val="2"/>
      <w:sz w:val="18"/>
      <w:szCs w:val="20"/>
    </w:rPr>
  </w:style>
  <w:style w:type="paragraph" w:styleId="7">
    <w:name w:val="Body Text Indent"/>
    <w:basedOn w:val="1"/>
    <w:autoRedefine/>
    <w:qFormat/>
    <w:uiPriority w:val="0"/>
    <w:pPr>
      <w:ind w:firstLine="630"/>
    </w:pPr>
    <w:rPr>
      <w:sz w:val="32"/>
      <w:szCs w:val="20"/>
    </w:rPr>
  </w:style>
  <w:style w:type="paragraph" w:styleId="8">
    <w:name w:val="Plain Text"/>
    <w:basedOn w:val="1"/>
    <w:autoRedefine/>
    <w:qFormat/>
    <w:uiPriority w:val="0"/>
    <w:pPr>
      <w:spacing w:line="460" w:lineRule="exact"/>
      <w:ind w:firstLine="567"/>
    </w:pPr>
    <w:rPr>
      <w:rFonts w:ascii="宋体" w:hAnsi="Courier New" w:eastAsia="仿宋_GB2312"/>
      <w:sz w:val="28"/>
      <w:szCs w:val="20"/>
    </w:rPr>
  </w:style>
  <w:style w:type="paragraph" w:styleId="9">
    <w:name w:val="footer"/>
    <w:basedOn w:val="1"/>
    <w:autoRedefine/>
    <w:qFormat/>
    <w:uiPriority w:val="0"/>
    <w:pPr>
      <w:tabs>
        <w:tab w:val="center" w:pos="4153"/>
        <w:tab w:val="right" w:pos="8306"/>
      </w:tabs>
      <w:snapToGrid w:val="0"/>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0"/>
    <w:pPr>
      <w:spacing w:line="180" w:lineRule="auto"/>
      <w:jc w:val="center"/>
    </w:pPr>
    <w:rPr>
      <w:sz w:val="30"/>
    </w:rPr>
  </w:style>
  <w:style w:type="paragraph" w:styleId="12">
    <w:name w:val="footnote text"/>
    <w:basedOn w:val="1"/>
    <w:autoRedefine/>
    <w:qFormat/>
    <w:uiPriority w:val="99"/>
    <w:pPr>
      <w:snapToGrid w:val="0"/>
      <w:jc w:val="left"/>
    </w:pPr>
    <w:rPr>
      <w:rFonts w:ascii="宋体" w:hAnsi="Times New Roman" w:eastAsia="宋体" w:cs="Times New Roman"/>
      <w:kern w:val="0"/>
      <w:sz w:val="18"/>
      <w:szCs w:val="18"/>
    </w:rPr>
  </w:style>
  <w:style w:type="paragraph" w:styleId="13">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4">
    <w:name w:val="Body Text First Indent"/>
    <w:basedOn w:val="2"/>
    <w:autoRedefine/>
    <w:qFormat/>
    <w:uiPriority w:val="0"/>
    <w:pPr>
      <w:widowControl w:val="0"/>
      <w:ind w:firstLine="420" w:firstLineChars="100"/>
      <w:jc w:val="both"/>
    </w:pPr>
    <w:rPr>
      <w:rFonts w:ascii="宋体" w:hAnsi="宋体"/>
      <w:kern w:val="2"/>
      <w:sz w:val="21"/>
      <w:szCs w:val="20"/>
    </w:rPr>
  </w:style>
  <w:style w:type="paragraph" w:styleId="15">
    <w:name w:val="Body Text First Indent 2"/>
    <w:basedOn w:val="7"/>
    <w:autoRedefine/>
    <w:qFormat/>
    <w:uiPriority w:val="0"/>
    <w:pPr>
      <w:ind w:firstLine="420"/>
    </w:p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annotation reference"/>
    <w:autoRedefine/>
    <w:qFormat/>
    <w:uiPriority w:val="99"/>
    <w:rPr>
      <w:sz w:val="21"/>
      <w:szCs w:val="21"/>
    </w:rPr>
  </w:style>
  <w:style w:type="paragraph" w:customStyle="1" w:styleId="2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样式 9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GW-正文"/>
    <w:basedOn w:val="1"/>
    <w:autoRedefine/>
    <w:qFormat/>
    <w:uiPriority w:val="0"/>
    <w:pPr>
      <w:spacing w:line="360" w:lineRule="auto"/>
      <w:ind w:firstLine="200" w:firstLineChars="200"/>
    </w:pPr>
    <w:rPr>
      <w:rFonts w:eastAsia="仿宋_GB2312"/>
      <w:sz w:val="24"/>
      <w:szCs w:val="24"/>
    </w:rPr>
  </w:style>
  <w:style w:type="paragraph" w:customStyle="1" w:styleId="23">
    <w:name w:val="_Style 3"/>
    <w:basedOn w:val="1"/>
    <w:autoRedefine/>
    <w:qFormat/>
    <w:uiPriority w:val="0"/>
    <w:pPr>
      <w:ind w:firstLine="420" w:firstLineChars="200"/>
    </w:pPr>
    <w:rPr>
      <w:sz w:val="20"/>
    </w:rPr>
  </w:style>
  <w:style w:type="paragraph" w:customStyle="1" w:styleId="24">
    <w:name w:val="Table Paragraph"/>
    <w:basedOn w:val="1"/>
    <w:autoRedefine/>
    <w:qFormat/>
    <w:uiPriority w:val="1"/>
    <w:pPr>
      <w:autoSpaceDE w:val="0"/>
      <w:autoSpaceDN w:val="0"/>
      <w:jc w:val="left"/>
    </w:pPr>
    <w:rPr>
      <w:sz w:val="22"/>
      <w:szCs w:val="22"/>
    </w:rPr>
  </w:style>
  <w:style w:type="paragraph" w:customStyle="1" w:styleId="2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9137</Words>
  <Characters>9769</Characters>
  <Lines>0</Lines>
  <Paragraphs>0</Paragraphs>
  <TotalTime>0</TotalTime>
  <ScaleCrop>false</ScaleCrop>
  <LinksUpToDate>false</LinksUpToDate>
  <CharactersWithSpaces>10192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2024-06-07T02:37:44Z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0AEB5B65CBA14ABDB3D7AFBC8171C779_13</vt:lpwstr>
  </property>
</Properties>
</file>