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0"/>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109" w:type="pct"/>
            <w:vAlign w:val="center"/>
          </w:tcPr>
          <w:p>
            <w:pPr>
              <w:spacing w:line="340" w:lineRule="exact"/>
              <w:jc w:val="center"/>
              <w:rPr>
                <w:rFonts w:ascii="宋体" w:hAnsi="Times New Roman" w:eastAsia="宋体" w:cs="Times New Roman"/>
              </w:rPr>
            </w:pPr>
            <w:r>
              <w:rPr>
                <w:rFonts w:hint="eastAsia" w:ascii="宋体" w:hAnsi="宋体" w:eastAsia="宋体" w:cs="Times New Roman"/>
                <w:lang w:val="en-US" w:eastAsia="zh-CN"/>
              </w:rPr>
              <w:t>心肺复苏机</w:t>
            </w:r>
          </w:p>
        </w:tc>
        <w:tc>
          <w:tcPr>
            <w:tcW w:w="1003" w:type="pct"/>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1台</w:t>
            </w:r>
          </w:p>
        </w:tc>
        <w:tc>
          <w:tcPr>
            <w:tcW w:w="1233" w:type="pct"/>
            <w:vAlign w:val="center"/>
          </w:tcPr>
          <w:p>
            <w:pPr>
              <w:spacing w:line="42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38</w:t>
            </w:r>
          </w:p>
        </w:tc>
      </w:tr>
    </w:tbl>
    <w:p>
      <w:pPr>
        <w:pStyle w:val="13"/>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numPr>
          <w:ilvl w:val="0"/>
          <w:numId w:val="1"/>
        </w:numPr>
        <w:rPr>
          <w:rFonts w:hint="eastAsia"/>
          <w:lang w:val="en-US" w:eastAsia="zh-CN"/>
        </w:rPr>
      </w:pPr>
      <w:r>
        <w:rPr>
          <w:rFonts w:hint="eastAsia"/>
          <w:lang w:val="en-US" w:eastAsia="zh-CN"/>
        </w:rPr>
        <w:t>适用范围：用于成年患者心跳呼吸骤停的心肺复苏救护。</w:t>
      </w:r>
    </w:p>
    <w:p>
      <w:pPr>
        <w:numPr>
          <w:ilvl w:val="0"/>
          <w:numId w:val="1"/>
        </w:numPr>
        <w:rPr>
          <w:rFonts w:hint="eastAsia" w:ascii="Times New Roman" w:hAnsi="Times New Roman" w:eastAsia="宋体" w:cs="Times New Roman"/>
          <w:lang w:val="en-US" w:eastAsia="zh-CN"/>
        </w:rPr>
      </w:pPr>
      <w:r>
        <w:rPr>
          <w:rFonts w:hint="default"/>
          <w:lang w:val="en-US"/>
        </w:rPr>
        <w:t>▲全电力驱动和控制</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具有</w:t>
      </w:r>
      <w:r>
        <w:rPr>
          <w:rFonts w:hint="default" w:ascii="Times New Roman" w:hAnsi="Times New Roman" w:eastAsia="宋体" w:cs="Times New Roman"/>
          <w:lang w:val="en-US" w:eastAsia="zh-CN"/>
        </w:rPr>
        <w:t>快速一键式电池更换</w:t>
      </w:r>
      <w:r>
        <w:rPr>
          <w:rFonts w:hint="eastAsia" w:ascii="Times New Roman" w:hAnsi="Times New Roman" w:eastAsia="宋体" w:cs="Times New Roman"/>
          <w:lang w:val="en-US" w:eastAsia="zh-CN"/>
        </w:rPr>
        <w:t>功能</w:t>
      </w:r>
      <w:r>
        <w:rPr>
          <w:rFonts w:hint="default" w:ascii="Times New Roman" w:hAnsi="Times New Roman" w:eastAsia="宋体" w:cs="Times New Roman"/>
          <w:lang w:val="en-US" w:eastAsia="zh-CN"/>
        </w:rPr>
        <w:t>，满足连续、高频次使用</w:t>
      </w:r>
      <w:r>
        <w:rPr>
          <w:rFonts w:hint="eastAsia" w:ascii="Times New Roman" w:hAnsi="Times New Roman" w:eastAsia="宋体" w:cs="Times New Roman"/>
          <w:lang w:val="en-US" w:eastAsia="zh-CN"/>
        </w:rPr>
        <w:t>。</w:t>
      </w:r>
    </w:p>
    <w:p>
      <w:pPr>
        <w:numPr>
          <w:ilvl w:val="0"/>
          <w:numId w:val="1"/>
        </w:numPr>
        <w:rPr>
          <w:rFonts w:hint="eastAsia"/>
          <w:lang w:val="en-US" w:eastAsia="zh-CN"/>
        </w:rPr>
      </w:pPr>
      <w:r>
        <w:rPr>
          <w:rFonts w:hint="eastAsia" w:ascii="Times New Roman" w:hAnsi="Times New Roman" w:eastAsia="宋体" w:cs="Times New Roman"/>
          <w:lang w:val="en-US" w:eastAsia="zh-CN"/>
        </w:rPr>
        <w:t>具有</w:t>
      </w:r>
      <w:r>
        <w:rPr>
          <w:rFonts w:hint="default" w:ascii="Times New Roman" w:hAnsi="Times New Roman" w:eastAsia="宋体" w:cs="Times New Roman"/>
          <w:lang w:val="en-US" w:eastAsia="zh-CN"/>
        </w:rPr>
        <w:t>智能化自动测量不同的病人胸廓参数并自动开始胸腔深度按压</w:t>
      </w:r>
      <w:r>
        <w:rPr>
          <w:rFonts w:hint="default"/>
          <w:lang w:val="en-US"/>
        </w:rPr>
        <w:t>，胸腔变化等于胸腔前后径的20%</w:t>
      </w:r>
      <w:r>
        <w:rPr>
          <w:rFonts w:hint="eastAsia"/>
          <w:lang w:val="en-US" w:eastAsia="zh-CN"/>
        </w:rPr>
        <w:t>。</w:t>
      </w:r>
    </w:p>
    <w:p>
      <w:pPr>
        <w:numPr>
          <w:ilvl w:val="0"/>
          <w:numId w:val="1"/>
        </w:numPr>
        <w:rPr>
          <w:rFonts w:hint="eastAsia"/>
          <w:lang w:val="en-US" w:eastAsia="zh-CN"/>
        </w:rPr>
      </w:pPr>
      <w:r>
        <w:rPr>
          <w:rFonts w:hint="default"/>
          <w:lang w:val="en-US"/>
        </w:rPr>
        <w:t>▲全胸廓按压，</w:t>
      </w:r>
      <w:r>
        <w:rPr>
          <w:rFonts w:hint="eastAsia"/>
          <w:lang w:val="en-US" w:eastAsia="zh-CN"/>
        </w:rPr>
        <w:t>具有</w:t>
      </w:r>
      <w:r>
        <w:rPr>
          <w:rFonts w:hint="default"/>
          <w:lang w:val="en-US"/>
        </w:rPr>
        <w:t>自动测量患者胸廓，提供个性化按压方式</w:t>
      </w:r>
      <w:r>
        <w:rPr>
          <w:rFonts w:hint="eastAsia"/>
          <w:lang w:val="en-US" w:eastAsia="zh-CN"/>
        </w:rPr>
        <w:t>。</w:t>
      </w:r>
    </w:p>
    <w:p>
      <w:pPr>
        <w:numPr>
          <w:ilvl w:val="0"/>
          <w:numId w:val="1"/>
        </w:numPr>
        <w:rPr>
          <w:rFonts w:hint="eastAsia"/>
          <w:lang w:val="en-US" w:eastAsia="zh-CN"/>
        </w:rPr>
      </w:pPr>
      <w:r>
        <w:rPr>
          <w:rFonts w:hint="eastAsia"/>
          <w:lang w:val="en-US" w:eastAsia="zh-CN"/>
        </w:rPr>
        <w:t>支持</w:t>
      </w:r>
      <w:r>
        <w:rPr>
          <w:rFonts w:hint="default"/>
          <w:lang w:val="en-US"/>
        </w:rPr>
        <w:t>通过压力分散按压组件进行胸腔外按压, 不会对病人造成胸骨损伤</w:t>
      </w:r>
      <w:r>
        <w:rPr>
          <w:rFonts w:hint="eastAsia"/>
          <w:lang w:val="en-US" w:eastAsia="zh-CN"/>
        </w:rPr>
        <w:t>。</w:t>
      </w:r>
    </w:p>
    <w:p>
      <w:pPr>
        <w:numPr>
          <w:ilvl w:val="0"/>
          <w:numId w:val="1"/>
        </w:numPr>
        <w:rPr>
          <w:rFonts w:hint="eastAsia"/>
          <w:lang w:val="en-US" w:eastAsia="zh-CN"/>
        </w:rPr>
      </w:pPr>
      <w:r>
        <w:rPr>
          <w:rFonts w:hint="default"/>
          <w:lang w:val="en-US"/>
        </w:rPr>
        <w:t>▲可透X光射线，使用不含橡胶材料的按压组件，不影响DSA介入手术操作</w:t>
      </w:r>
      <w:r>
        <w:rPr>
          <w:rFonts w:hint="eastAsia"/>
          <w:lang w:val="en-US" w:eastAsia="zh-CN"/>
        </w:rPr>
        <w:t>。</w:t>
      </w:r>
    </w:p>
    <w:p>
      <w:pPr>
        <w:numPr>
          <w:ilvl w:val="0"/>
          <w:numId w:val="1"/>
        </w:numPr>
        <w:rPr>
          <w:rFonts w:hint="eastAsia"/>
          <w:lang w:val="en-US" w:eastAsia="zh-CN"/>
        </w:rPr>
      </w:pPr>
      <w:r>
        <w:rPr>
          <w:rFonts w:hint="default"/>
          <w:lang w:val="en-US"/>
        </w:rPr>
        <w:t>主机启动后能自动测量患者胸围，并通过开始的6-8次按压计算确定患者胸部顺应性，自动调节按压力，保证按压深度和效果，减少损伤风险</w:t>
      </w:r>
      <w:r>
        <w:rPr>
          <w:rFonts w:hint="eastAsia"/>
          <w:lang w:val="en-US" w:eastAsia="zh-CN"/>
        </w:rPr>
        <w:t>。</w:t>
      </w:r>
    </w:p>
    <w:p>
      <w:pPr>
        <w:numPr>
          <w:ilvl w:val="0"/>
          <w:numId w:val="1"/>
        </w:numPr>
        <w:rPr>
          <w:rFonts w:hint="eastAsia"/>
          <w:lang w:val="en-US" w:eastAsia="zh-CN"/>
        </w:rPr>
      </w:pPr>
      <w:r>
        <w:rPr>
          <w:rFonts w:hint="default"/>
          <w:lang w:val="en-US"/>
        </w:rPr>
        <w:t>整机可与软担架、硬担架、转运床等配合使用，可用于狭窄的电梯、楼梯等场所转运，患者卧位，坐立位也能安全地进行连续CPR</w:t>
      </w:r>
      <w:r>
        <w:rPr>
          <w:rFonts w:hint="eastAsia"/>
          <w:lang w:val="en-US" w:eastAsia="zh-CN"/>
        </w:rPr>
        <w:t>。</w:t>
      </w:r>
    </w:p>
    <w:p>
      <w:pPr>
        <w:numPr>
          <w:ilvl w:val="0"/>
          <w:numId w:val="1"/>
        </w:numPr>
        <w:rPr>
          <w:rFonts w:hint="default"/>
          <w:lang w:val="en-US"/>
        </w:rPr>
      </w:pPr>
      <w:r>
        <w:rPr>
          <w:rFonts w:hint="eastAsia"/>
          <w:lang w:val="en-US" w:eastAsia="zh-CN"/>
        </w:rPr>
        <w:t>根据</w:t>
      </w:r>
      <w:r>
        <w:rPr>
          <w:rFonts w:hint="default"/>
          <w:lang w:val="en-US"/>
        </w:rPr>
        <w:t>AHA指南以30:2,15:2的按压通气比操作，也</w:t>
      </w:r>
      <w:r>
        <w:rPr>
          <w:rFonts w:hint="eastAsia"/>
          <w:lang w:val="en-US" w:eastAsia="zh-CN"/>
        </w:rPr>
        <w:t>具备</w:t>
      </w:r>
      <w:r>
        <w:rPr>
          <w:rFonts w:hint="default"/>
          <w:lang w:val="en-US"/>
        </w:rPr>
        <w:t>按用户需要设置为连续不停顿按压</w:t>
      </w:r>
      <w:r>
        <w:rPr>
          <w:rFonts w:hint="eastAsia"/>
          <w:lang w:val="en-US" w:eastAsia="zh-CN"/>
        </w:rPr>
        <w:t>。</w:t>
      </w:r>
    </w:p>
    <w:p>
      <w:pPr>
        <w:numPr>
          <w:ilvl w:val="0"/>
          <w:numId w:val="1"/>
        </w:numPr>
        <w:rPr>
          <w:rFonts w:hint="eastAsia"/>
          <w:lang w:val="en-US" w:eastAsia="zh-CN"/>
        </w:rPr>
      </w:pPr>
      <w:r>
        <w:rPr>
          <w:rFonts w:hint="default"/>
          <w:lang w:val="en-US"/>
        </w:rPr>
        <w:t>▲满足AHA急救指南不要停顿按压的要求，可以和除颤仪联动，联动后可分析按压周期，精确地确定为患者实施电击的最佳时机。在按压回弹的最开始阶段，此时经胸廓电阻处于最低点，实施电击。</w:t>
      </w:r>
    </w:p>
    <w:p>
      <w:pPr>
        <w:numPr>
          <w:ilvl w:val="0"/>
          <w:numId w:val="1"/>
        </w:numPr>
        <w:rPr>
          <w:rFonts w:hint="eastAsia"/>
          <w:lang w:val="en-US" w:eastAsia="zh-CN"/>
        </w:rPr>
      </w:pPr>
      <w:r>
        <w:rPr>
          <w:rFonts w:hint="eastAsia"/>
          <w:lang w:val="en-US" w:eastAsia="zh-CN"/>
        </w:rPr>
        <w:t>设备的</w:t>
      </w:r>
      <w:r>
        <w:rPr>
          <w:rFonts w:hint="default"/>
          <w:lang w:val="en-US"/>
        </w:rPr>
        <w:t>按压数据可以通过红外端口导出至电脑进行病例备份和事件回顾,并且总结复苏事件</w:t>
      </w:r>
      <w:r>
        <w:rPr>
          <w:rFonts w:hint="eastAsia"/>
          <w:lang w:val="en-US" w:eastAsia="zh-CN"/>
        </w:rPr>
        <w:t>。</w:t>
      </w:r>
    </w:p>
    <w:p>
      <w:pPr>
        <w:numPr>
          <w:ilvl w:val="0"/>
          <w:numId w:val="1"/>
        </w:numPr>
        <w:rPr>
          <w:rFonts w:hint="eastAsia"/>
          <w:lang w:val="en-US" w:eastAsia="zh-CN"/>
        </w:rPr>
      </w:pPr>
      <w:r>
        <w:rPr>
          <w:rFonts w:hint="default"/>
          <w:lang w:val="en-US"/>
        </w:rPr>
        <w:t>安全性和有效性得到AHA指南认可，具备AHA指南推荐</w:t>
      </w:r>
      <w:r>
        <w:rPr>
          <w:rFonts w:hint="eastAsia"/>
          <w:lang w:val="en-US" w:eastAsia="zh-CN"/>
        </w:rPr>
        <w:t>。</w:t>
      </w:r>
    </w:p>
    <w:p>
      <w:pPr>
        <w:numPr>
          <w:ilvl w:val="0"/>
          <w:numId w:val="1"/>
        </w:numPr>
        <w:rPr>
          <w:rFonts w:hint="eastAsia"/>
          <w:lang w:val="en-US" w:eastAsia="zh-CN"/>
        </w:rPr>
      </w:pPr>
      <w:r>
        <w:rPr>
          <w:rFonts w:hint="eastAsia"/>
          <w:lang w:val="en-US" w:eastAsia="zh-CN"/>
        </w:rPr>
        <w:t>设备</w:t>
      </w:r>
      <w:r>
        <w:rPr>
          <w:rFonts w:hint="default"/>
          <w:lang w:val="en-US"/>
        </w:rPr>
        <w:t>应为高度集成，容易携带，应有携带用的运输袋</w:t>
      </w:r>
      <w:r>
        <w:rPr>
          <w:rFonts w:hint="eastAsia"/>
          <w:lang w:val="en-US" w:eastAsia="zh-CN"/>
        </w:rPr>
        <w:t>。</w:t>
      </w:r>
    </w:p>
    <w:p>
      <w:pPr>
        <w:numPr>
          <w:ilvl w:val="0"/>
          <w:numId w:val="1"/>
        </w:numPr>
        <w:rPr>
          <w:rFonts w:hint="eastAsia"/>
          <w:lang w:val="en-US" w:eastAsia="zh-CN"/>
        </w:rPr>
      </w:pPr>
      <w:r>
        <w:rPr>
          <w:rFonts w:hint="default"/>
          <w:lang w:val="en-US"/>
        </w:rPr>
        <w:t>▲</w:t>
      </w:r>
      <w:r>
        <w:rPr>
          <w:rFonts w:hint="eastAsia"/>
          <w:lang w:val="en-US" w:eastAsia="zh-CN"/>
        </w:rPr>
        <w:t>设备</w:t>
      </w:r>
      <w:r>
        <w:rPr>
          <w:rFonts w:hint="default"/>
          <w:lang w:val="en-US"/>
        </w:rPr>
        <w:t>使用高容量充电电池供电，不使用气瓶供气驱动</w:t>
      </w:r>
      <w:r>
        <w:rPr>
          <w:rFonts w:hint="eastAsia"/>
          <w:lang w:val="en-US" w:eastAsia="zh-CN"/>
        </w:rPr>
        <w:t>。</w:t>
      </w:r>
    </w:p>
    <w:p>
      <w:pPr>
        <w:numPr>
          <w:ilvl w:val="0"/>
          <w:numId w:val="1"/>
        </w:numPr>
        <w:rPr>
          <w:rFonts w:hint="eastAsia"/>
          <w:lang w:val="en-US" w:eastAsia="zh-CN"/>
        </w:rPr>
      </w:pPr>
      <w:r>
        <w:rPr>
          <w:rFonts w:hint="eastAsia"/>
          <w:lang w:val="en-US" w:eastAsia="zh-CN"/>
        </w:rPr>
        <w:t>具</w:t>
      </w:r>
      <w:r>
        <w:rPr>
          <w:rFonts w:hint="default"/>
          <w:lang w:val="en-US"/>
        </w:rPr>
        <w:t>有剩余电量显示</w:t>
      </w:r>
      <w:r>
        <w:rPr>
          <w:rFonts w:hint="eastAsia"/>
          <w:lang w:val="en-US" w:eastAsia="zh-CN"/>
        </w:rPr>
        <w:t>。</w:t>
      </w:r>
    </w:p>
    <w:p>
      <w:pPr>
        <w:numPr>
          <w:ilvl w:val="0"/>
          <w:numId w:val="1"/>
        </w:numPr>
        <w:rPr>
          <w:rFonts w:hint="eastAsia"/>
          <w:lang w:val="en-US" w:eastAsia="zh-CN"/>
        </w:rPr>
      </w:pPr>
      <w:r>
        <w:rPr>
          <w:rFonts w:hint="default"/>
          <w:lang w:val="en-US"/>
        </w:rPr>
        <w:t>▲</w:t>
      </w:r>
      <w:r>
        <w:rPr>
          <w:rFonts w:hint="eastAsia"/>
          <w:lang w:val="en-US" w:eastAsia="zh-CN"/>
        </w:rPr>
        <w:t>具</w:t>
      </w:r>
      <w:r>
        <w:rPr>
          <w:rFonts w:hint="default"/>
          <w:lang w:val="en-US"/>
        </w:rPr>
        <w:t>有带背光的</w:t>
      </w:r>
      <w:r>
        <w:rPr>
          <w:rFonts w:hint="eastAsia"/>
          <w:lang w:val="en-US" w:eastAsia="zh-CN"/>
        </w:rPr>
        <w:t>液晶</w:t>
      </w:r>
      <w:r>
        <w:rPr>
          <w:rFonts w:hint="default"/>
          <w:lang w:val="en-US"/>
        </w:rPr>
        <w:t>显示屏，对比度可调</w:t>
      </w:r>
      <w:r>
        <w:rPr>
          <w:rFonts w:hint="eastAsia"/>
          <w:lang w:val="en-US" w:eastAsia="zh-CN"/>
        </w:rPr>
        <w:t>节</w:t>
      </w:r>
      <w:r>
        <w:rPr>
          <w:rFonts w:hint="default"/>
          <w:lang w:val="en-US"/>
        </w:rPr>
        <w:t>，显示当前运行状态，可查看上一个病人的复苏情况</w:t>
      </w:r>
      <w:r>
        <w:rPr>
          <w:rFonts w:hint="eastAsia"/>
          <w:lang w:val="en-US" w:eastAsia="zh-CN"/>
        </w:rPr>
        <w:t>。</w:t>
      </w:r>
    </w:p>
    <w:p>
      <w:pPr>
        <w:numPr>
          <w:ilvl w:val="0"/>
          <w:numId w:val="1"/>
        </w:numPr>
        <w:rPr>
          <w:rFonts w:hint="eastAsia"/>
          <w:lang w:val="en-US" w:eastAsia="zh-CN"/>
        </w:rPr>
      </w:pPr>
      <w:r>
        <w:rPr>
          <w:rFonts w:hint="eastAsia"/>
          <w:lang w:val="en-US" w:eastAsia="zh-CN"/>
        </w:rPr>
        <w:t>具有</w:t>
      </w:r>
      <w:r>
        <w:rPr>
          <w:rFonts w:hint="default"/>
          <w:lang w:val="en-US"/>
        </w:rPr>
        <w:t>声音提示和警报，告知医生进行通气操作</w:t>
      </w:r>
      <w:r>
        <w:rPr>
          <w:rFonts w:hint="eastAsia"/>
          <w:lang w:val="en-US" w:eastAsia="zh-CN"/>
        </w:rPr>
        <w:t>。</w:t>
      </w:r>
    </w:p>
    <w:p>
      <w:pPr>
        <w:numPr>
          <w:ilvl w:val="0"/>
          <w:numId w:val="1"/>
        </w:numPr>
        <w:rPr>
          <w:rFonts w:hint="eastAsia"/>
          <w:lang w:val="en-US" w:eastAsia="zh-CN"/>
        </w:rPr>
      </w:pPr>
      <w:r>
        <w:rPr>
          <w:rFonts w:hint="default"/>
          <w:lang w:val="en-US"/>
        </w:rPr>
        <w:t>具有压力传感器安全设置,防止按压压力过大</w:t>
      </w:r>
      <w:r>
        <w:rPr>
          <w:rFonts w:hint="eastAsia"/>
          <w:lang w:val="en-US" w:eastAsia="zh-CN"/>
        </w:rPr>
        <w:t>。</w:t>
      </w:r>
    </w:p>
    <w:p>
      <w:pPr>
        <w:numPr>
          <w:ilvl w:val="0"/>
          <w:numId w:val="1"/>
        </w:numPr>
        <w:rPr>
          <w:rFonts w:hint="eastAsia"/>
          <w:lang w:val="en-US" w:eastAsia="zh-CN"/>
        </w:rPr>
      </w:pPr>
      <w:r>
        <w:rPr>
          <w:rFonts w:hint="default"/>
          <w:lang w:val="en-US"/>
        </w:rPr>
        <w:t>能在救护车运输途中不间断进行按压，在急救车转弯晃动情况下按压位置不会产生位移</w:t>
      </w:r>
      <w:r>
        <w:rPr>
          <w:rFonts w:hint="eastAsia"/>
          <w:lang w:val="en-US" w:eastAsia="zh-CN"/>
        </w:rPr>
        <w:t>。</w:t>
      </w:r>
    </w:p>
    <w:p>
      <w:pPr>
        <w:numPr>
          <w:ilvl w:val="0"/>
          <w:numId w:val="1"/>
        </w:numPr>
        <w:rPr>
          <w:rFonts w:hint="eastAsia"/>
          <w:lang w:val="en-US" w:eastAsia="zh-CN"/>
        </w:rPr>
      </w:pPr>
      <w:r>
        <w:rPr>
          <w:rFonts w:hint="default"/>
          <w:lang w:val="en-US"/>
        </w:rPr>
        <w:t>与ECMO配合，提供不间断的高质量心肺复苏</w:t>
      </w:r>
      <w:r>
        <w:rPr>
          <w:rFonts w:hint="eastAsia"/>
          <w:lang w:val="en-US" w:eastAsia="zh-CN"/>
        </w:rPr>
        <w:t>。</w:t>
      </w:r>
    </w:p>
    <w:p>
      <w:pPr>
        <w:numPr>
          <w:ilvl w:val="0"/>
          <w:numId w:val="1"/>
        </w:numPr>
        <w:rPr>
          <w:rFonts w:hint="eastAsia"/>
          <w:lang w:val="en-US" w:eastAsia="zh-CN"/>
        </w:rPr>
      </w:pPr>
      <w:r>
        <w:rPr>
          <w:rFonts w:hint="default"/>
          <w:lang w:val="en-US"/>
        </w:rPr>
        <w:t xml:space="preserve">按压的作用周期 </w:t>
      </w:r>
      <w:r>
        <w:rPr>
          <w:rFonts w:hint="eastAsia"/>
          <w:lang w:val="en-US" w:eastAsia="zh-CN"/>
        </w:rPr>
        <w:t>：</w:t>
      </w:r>
      <w:r>
        <w:rPr>
          <w:rFonts w:hint="default"/>
          <w:lang w:val="en-US"/>
        </w:rPr>
        <w:t>≥ 固定50 ± 5% 按压舒张比</w:t>
      </w:r>
      <w:r>
        <w:rPr>
          <w:rFonts w:hint="eastAsia"/>
          <w:lang w:val="en-US" w:eastAsia="zh-CN"/>
        </w:rPr>
        <w:t>。</w:t>
      </w:r>
    </w:p>
    <w:p>
      <w:pPr>
        <w:numPr>
          <w:ilvl w:val="0"/>
          <w:numId w:val="1"/>
        </w:numPr>
        <w:rPr>
          <w:rFonts w:hint="eastAsia"/>
          <w:lang w:val="en-US" w:eastAsia="zh-CN"/>
        </w:rPr>
      </w:pPr>
      <w:r>
        <w:rPr>
          <w:rFonts w:hint="default"/>
          <w:lang w:val="en-US"/>
        </w:rPr>
        <w:t>具有适航证，能满足各种复杂严苛的长时间院外运转急救需求</w:t>
      </w:r>
      <w:r>
        <w:rPr>
          <w:rFonts w:hint="eastAsia"/>
          <w:lang w:val="en-US" w:eastAsia="zh-CN"/>
        </w:rPr>
        <w:t>。</w:t>
      </w:r>
    </w:p>
    <w:p>
      <w:pPr>
        <w:numPr>
          <w:ilvl w:val="0"/>
          <w:numId w:val="1"/>
        </w:numPr>
        <w:rPr>
          <w:rFonts w:hint="eastAsia"/>
          <w:lang w:val="en-US" w:eastAsia="zh-CN"/>
        </w:rPr>
      </w:pPr>
      <w:r>
        <w:rPr>
          <w:rFonts w:hint="default"/>
          <w:lang w:val="en-US"/>
        </w:rPr>
        <w:t>主机整体防护等级≥IP24</w:t>
      </w:r>
      <w:r>
        <w:rPr>
          <w:rFonts w:hint="eastAsia"/>
          <w:lang w:val="en-US" w:eastAsia="zh-CN"/>
        </w:rPr>
        <w:t>。</w:t>
      </w:r>
    </w:p>
    <w:p>
      <w:pPr>
        <w:numPr>
          <w:ilvl w:val="0"/>
          <w:numId w:val="1"/>
        </w:numPr>
        <w:rPr>
          <w:rFonts w:hint="eastAsia"/>
          <w:lang w:val="en-US" w:eastAsia="zh-CN"/>
        </w:rPr>
      </w:pPr>
      <w:r>
        <w:rPr>
          <w:rFonts w:hint="default"/>
          <w:lang w:val="en-US"/>
        </w:rPr>
        <w:t>防冲击符合IEC60068-2-27基本环境测试（50g、11毫秒脉冲，正弦半波）</w:t>
      </w:r>
      <w:r>
        <w:rPr>
          <w:rFonts w:hint="eastAsia"/>
          <w:lang w:val="en-US" w:eastAsia="zh-CN"/>
        </w:rPr>
        <w:t>。</w:t>
      </w:r>
    </w:p>
    <w:p>
      <w:pPr>
        <w:numPr>
          <w:ilvl w:val="0"/>
          <w:numId w:val="1"/>
        </w:numPr>
        <w:rPr>
          <w:rFonts w:hint="eastAsia"/>
          <w:lang w:val="en-US" w:eastAsia="zh-CN"/>
        </w:rPr>
      </w:pPr>
      <w:r>
        <w:rPr>
          <w:rFonts w:hint="default"/>
          <w:lang w:val="en-US"/>
        </w:rPr>
        <w:t>防振动符合IEC60068-2-64基本环境测试—宽带随机振动（f1:20-f2:2000, ASD:0.05）符合IEC60068-2-6环境测试—振动（正弦）（10-150赫兹、10m/s2）</w:t>
      </w:r>
      <w:r>
        <w:rPr>
          <w:rFonts w:hint="eastAsia"/>
          <w:lang w:val="en-US" w:eastAsia="zh-CN"/>
        </w:rPr>
        <w:t>。</w:t>
      </w:r>
    </w:p>
    <w:p>
      <w:pPr>
        <w:numPr>
          <w:ilvl w:val="0"/>
          <w:numId w:val="1"/>
        </w:numPr>
        <w:rPr>
          <w:rFonts w:hint="eastAsia"/>
          <w:lang w:val="en-US" w:eastAsia="zh-CN"/>
        </w:rPr>
      </w:pPr>
      <w:r>
        <w:rPr>
          <w:rFonts w:hint="default"/>
          <w:lang w:val="en-US"/>
        </w:rPr>
        <w:t>防跌落符合IEC60068-2-32基本环境测试-自由跌落-规程1</w:t>
      </w:r>
      <w:r>
        <w:rPr>
          <w:rFonts w:hint="eastAsia"/>
          <w:lang w:val="en-US" w:eastAsia="zh-CN"/>
        </w:rPr>
        <w:t>。</w:t>
      </w:r>
      <w:r>
        <w:rPr>
          <w:rFonts w:hint="default"/>
          <w:lang w:val="en-US"/>
        </w:rPr>
        <w:t>安全性能：满足IEC60601-抗除颤电击、可移动、III类标准</w:t>
      </w:r>
      <w:r>
        <w:rPr>
          <w:rFonts w:hint="eastAsia"/>
          <w:lang w:val="en-US" w:eastAsia="zh-CN"/>
        </w:rPr>
        <w:t>。</w:t>
      </w:r>
    </w:p>
    <w:p>
      <w:pPr>
        <w:numPr>
          <w:ilvl w:val="0"/>
          <w:numId w:val="1"/>
        </w:numPr>
        <w:spacing w:line="360" w:lineRule="exact"/>
        <w:ind w:left="0" w:leftChars="0" w:firstLine="0" w:firstLineChars="0"/>
        <w:jc w:val="left"/>
        <w:rPr>
          <w:rFonts w:hint="eastAsia"/>
          <w:highlight w:val="none"/>
          <w:lang w:val="en-US" w:eastAsia="zh-CN"/>
        </w:rPr>
      </w:pPr>
      <w:r>
        <w:rPr>
          <w:rFonts w:hint="eastAsia"/>
          <w:highlight w:val="none"/>
          <w:lang w:val="en-US" w:eastAsia="zh-CN"/>
        </w:rPr>
        <w:t>★配置清单：主机及配件1套、电池2块。</w:t>
      </w:r>
    </w:p>
    <w:p>
      <w:pPr>
        <w:numPr>
          <w:numId w:val="0"/>
        </w:numPr>
        <w:spacing w:line="360" w:lineRule="exact"/>
        <w:ind w:leftChars="0"/>
        <w:jc w:val="left"/>
        <w:rPr>
          <w:b/>
          <w:bCs/>
        </w:rPr>
      </w:pPr>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6"/>
        <w:pageBreakBefore w:val="0"/>
        <w:numPr>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pPr>
      <w:r>
        <w:rPr>
          <w:rFonts w:hint="eastAsia"/>
        </w:rPr>
        <w:t>4.1质保期：最终验收合格后提供≥3年原厂质保（含整机所有部件；如质保期内部件损坏，中标人免费更换全新原厂配件，并对更换部件延长一年质保）。</w:t>
      </w:r>
    </w:p>
    <w:p>
      <w:pPr>
        <w:spacing w:line="360" w:lineRule="exact"/>
        <w:jc w:val="both"/>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eastAsia="zh-CN"/>
        </w:rPr>
        <w:t>每年巡检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8"/>
        <w:gridCol w:w="738"/>
        <w:gridCol w:w="1194"/>
        <w:gridCol w:w="57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rPr>
              <w:t>30</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54</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cs="Segoe UI"/>
                <w:color w:val="000000"/>
                <w:kern w:val="0"/>
                <w:lang w:val="en-US" w:eastAsia="zh-CN"/>
              </w:rPr>
              <w:t>54</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54</w:t>
            </w:r>
            <w:r>
              <w:rPr>
                <w:rFonts w:hint="eastAsia" w:ascii="宋体" w:hAnsi="宋体" w:cs="宋体"/>
              </w:rPr>
              <w:t>分。▲号条款负偏离一项扣</w:t>
            </w:r>
            <w:r>
              <w:rPr>
                <w:rFonts w:hint="eastAsia" w:ascii="宋体" w:hAnsi="宋体" w:cs="宋体"/>
                <w:lang w:val="en-US" w:eastAsia="zh-CN"/>
              </w:rPr>
              <w:t>4</w:t>
            </w:r>
            <w:r>
              <w:rPr>
                <w:rFonts w:hint="eastAsia" w:ascii="宋体" w:hAnsi="宋体" w:cs="宋体"/>
              </w:rPr>
              <w:t>分，非▲号条款一项扣</w:t>
            </w:r>
            <w:r>
              <w:rPr>
                <w:rFonts w:hint="eastAsia" w:ascii="宋体" w:hAnsi="宋体" w:cs="宋体"/>
                <w:lang w:val="en-US" w:eastAsia="zh-CN"/>
              </w:rPr>
              <w:t>1.5</w:t>
            </w:r>
            <w:r>
              <w:rPr>
                <w:rFonts w:hint="eastAsia" w:ascii="宋体" w:hAnsi="宋体" w:cs="宋体"/>
              </w:rPr>
              <w:t>分，扣完为止。（▲号条款共</w:t>
            </w:r>
            <w:r>
              <w:rPr>
                <w:rFonts w:hint="eastAsia" w:ascii="宋体" w:hAnsi="宋体" w:cs="宋体"/>
                <w:lang w:val="en-US" w:eastAsia="zh-CN"/>
              </w:rPr>
              <w:t>6</w:t>
            </w:r>
            <w:r>
              <w:rPr>
                <w:rFonts w:hint="eastAsia" w:ascii="宋体" w:hAnsi="宋体" w:cs="宋体"/>
              </w:rPr>
              <w:t>项，非▲号条款共</w:t>
            </w:r>
            <w:r>
              <w:rPr>
                <w:rFonts w:hint="eastAsia" w:ascii="宋体" w:hAnsi="宋体" w:cs="宋体"/>
                <w:lang w:val="en-US" w:eastAsia="zh-CN"/>
              </w:rPr>
              <w:t>20</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并在投标文件中标注页码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w:t>
            </w:r>
            <w:r>
              <w:rPr>
                <w:rFonts w:hint="eastAsia" w:ascii="宋体" w:hAnsi="宋体" w:cs="宋体"/>
                <w:lang w:val="en-US" w:eastAsia="zh-CN"/>
              </w:rPr>
              <w:t>生产厂家出具的</w:t>
            </w:r>
            <w:r>
              <w:rPr>
                <w:rFonts w:hint="eastAsia" w:ascii="宋体" w:hAnsi="宋体" w:cs="宋体"/>
              </w:rPr>
              <w:t>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eastAsia="宋体" w:cs="宋体"/>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w:t>
            </w:r>
            <w:r>
              <w:rPr>
                <w:rFonts w:hint="eastAsia" w:ascii="宋体" w:hAnsi="宋体" w:cs="宋体"/>
              </w:rPr>
              <w:t>至递交投标文件截止日</w:t>
            </w:r>
            <w:r>
              <w:rPr>
                <w:rFonts w:hint="eastAsia" w:ascii="宋体" w:hAnsi="宋体" w:eastAsia="宋体" w:cs="宋体"/>
                <w:lang w:val="en-US" w:eastAsia="zh-CN"/>
              </w:rPr>
              <w:t>，</w:t>
            </w:r>
            <w:r>
              <w:rPr>
                <w:rFonts w:hint="eastAsia" w:ascii="宋体" w:hAnsi="宋体" w:eastAsia="宋体" w:cs="宋体"/>
              </w:rPr>
              <w:t>投标人</w:t>
            </w:r>
            <w:r>
              <w:rPr>
                <w:rFonts w:hint="eastAsia" w:ascii="宋体" w:hAnsi="宋体" w:eastAsia="宋体" w:cs="宋体"/>
                <w:lang w:val="en-US" w:eastAsia="zh-CN"/>
              </w:rPr>
              <w:t>提供</w:t>
            </w:r>
            <w:r>
              <w:rPr>
                <w:rFonts w:hint="eastAsia" w:ascii="宋体" w:hAnsi="宋体" w:cs="宋体"/>
              </w:rPr>
              <w:t>与本次投标产品相同或与本次投标产品相同系列的产品销售业绩进行评比，</w:t>
            </w:r>
            <w:r>
              <w:rPr>
                <w:rFonts w:hint="eastAsia" w:ascii="宋体" w:hAnsi="宋体" w:cs="宋体"/>
                <w:lang w:val="en-US" w:eastAsia="zh-CN"/>
              </w:rPr>
              <w:t>每提供一个业绩得1分，</w:t>
            </w:r>
            <w:r>
              <w:rPr>
                <w:rFonts w:hint="eastAsia" w:ascii="宋体" w:hAnsi="宋体" w:eastAsia="宋体" w:cs="宋体"/>
                <w:lang w:val="en-US" w:eastAsia="zh-CN"/>
              </w:rPr>
              <w:t xml:space="preserve">最高得8分。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w:t>
            </w:r>
            <w:r>
              <w:rPr>
                <w:rFonts w:hint="eastAsia" w:ascii="宋体" w:hAnsi="宋体" w:cs="宋体"/>
              </w:rPr>
              <w:t>或发票复印件</w:t>
            </w:r>
            <w:r>
              <w:rPr>
                <w:rFonts w:hint="eastAsia" w:ascii="宋体" w:hAnsi="宋体" w:eastAsia="宋体" w:cs="宋体"/>
                <w:lang w:val="en-US" w:eastAsia="zh-CN"/>
              </w:rPr>
              <w:t>并加盖投标人公章（鲜章）。</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4</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eastAsia="宋体" w:cs="宋体"/>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2</w:t>
            </w:r>
            <w:r>
              <w:rPr>
                <w:rFonts w:hint="eastAsia" w:ascii="宋体" w:hAnsi="宋体" w:eastAsia="宋体" w:cs="宋体"/>
              </w:rPr>
              <w:t>分，每缺少一项的扣</w:t>
            </w:r>
            <w:r>
              <w:rPr>
                <w:rFonts w:hint="eastAsia" w:ascii="宋体" w:hAnsi="宋体" w:eastAsia="宋体" w:cs="宋体"/>
                <w:lang w:val="en-US" w:eastAsia="zh-CN"/>
              </w:rPr>
              <w:t>0.5</w:t>
            </w:r>
            <w:r>
              <w:rPr>
                <w:rFonts w:hint="eastAsia" w:ascii="宋体" w:hAnsi="宋体" w:eastAsia="宋体" w:cs="宋体"/>
              </w:rPr>
              <w:t>分，每有一项存在内容缺陷扣</w:t>
            </w:r>
            <w:r>
              <w:rPr>
                <w:rFonts w:hint="eastAsia" w:ascii="宋体" w:hAnsi="宋体" w:eastAsia="宋体" w:cs="宋体"/>
                <w:lang w:val="en-US" w:eastAsia="zh-CN"/>
              </w:rPr>
              <w:t>0.25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3"/>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w:t>
      </w:r>
      <w:r>
        <w:rPr>
          <w:rFonts w:hint="eastAsia" w:ascii="仿宋_GB2312" w:hAnsi="Segoe UI" w:eastAsia="仿宋_GB2312" w:cs="Segoe UI"/>
          <w:color w:val="333333"/>
          <w:kern w:val="0"/>
          <w:sz w:val="22"/>
        </w:rPr>
        <w:t>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1" w:name="_GoBack"/>
      <w:bookmarkEnd w:id="1"/>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1E871"/>
    <w:multiLevelType w:val="singleLevel"/>
    <w:tmpl w:val="3401E8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22827069"/>
    <w:rsid w:val="25933A00"/>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2024-06-11T03:48:59Z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