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sz w:val="40"/>
          <w:szCs w:val="4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采购项目编号：SCFY-YXZB202405-011（磋）</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b/>
          <w:bCs/>
          <w:kern w:val="0"/>
          <w:sz w:val="24"/>
          <w:szCs w:val="24"/>
          <w:lang w:val="en-US" w:eastAsia="zh-CN" w:bidi="ar-SA"/>
        </w:rPr>
        <w:t>二、年度采购预算：5.8万元/年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3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48"/>
        <w:gridCol w:w="972"/>
        <w:gridCol w:w="1056"/>
        <w:gridCol w:w="6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99"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b/>
                <w:sz w:val="18"/>
                <w:szCs w:val="18"/>
              </w:rPr>
              <w:t>序号</w:t>
            </w:r>
          </w:p>
        </w:tc>
        <w:tc>
          <w:tcPr>
            <w:tcW w:w="632" w:type="pct"/>
            <w:noWrap w:val="0"/>
            <w:vAlign w:val="center"/>
          </w:tcPr>
          <w:p>
            <w:pPr>
              <w:autoSpaceDE w:val="0"/>
              <w:autoSpaceDN w:val="0"/>
              <w:jc w:val="center"/>
              <w:rPr>
                <w:rFonts w:hint="default" w:ascii="宋体" w:hAnsi="宋体" w:eastAsia="宋体"/>
                <w:lang w:val="en-US" w:eastAsia="zh-CN"/>
              </w:rPr>
            </w:pPr>
            <w:r>
              <w:rPr>
                <w:rFonts w:ascii="宋体" w:hAnsi="宋体"/>
                <w:b/>
                <w:sz w:val="18"/>
                <w:szCs w:val="18"/>
              </w:rPr>
              <w:t>产品名称</w:t>
            </w:r>
          </w:p>
        </w:tc>
        <w:tc>
          <w:tcPr>
            <w:tcW w:w="456" w:type="pct"/>
            <w:noWrap w:val="0"/>
            <w:vAlign w:val="center"/>
          </w:tcPr>
          <w:p>
            <w:pPr>
              <w:autoSpaceDE w:val="0"/>
              <w:autoSpaceDN w:val="0"/>
              <w:jc w:val="center"/>
              <w:rPr>
                <w:rFonts w:hint="default" w:ascii="宋体" w:hAnsi="宋体" w:cs="宋体"/>
                <w:color w:val="000000"/>
                <w:kern w:val="2"/>
                <w:sz w:val="21"/>
                <w:szCs w:val="21"/>
                <w:lang w:val="en-US" w:eastAsia="zh-CN" w:bidi="ar-SA"/>
              </w:rPr>
            </w:pPr>
            <w:r>
              <w:rPr>
                <w:rFonts w:hint="eastAsia" w:ascii="宋体" w:hAnsi="宋体"/>
                <w:b/>
                <w:sz w:val="18"/>
                <w:szCs w:val="18"/>
                <w:lang w:val="en-US" w:eastAsia="zh-CN"/>
              </w:rPr>
              <w:t>预算单价（元）</w:t>
            </w:r>
          </w:p>
        </w:tc>
        <w:tc>
          <w:tcPr>
            <w:tcW w:w="495"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hint="default" w:ascii="宋体" w:hAnsi="宋体" w:cs="宋体"/>
                <w:color w:val="000000"/>
                <w:kern w:val="2"/>
                <w:sz w:val="21"/>
                <w:szCs w:val="21"/>
                <w:lang w:val="en-US" w:eastAsia="zh-CN" w:bidi="ar-SA"/>
              </w:rPr>
            </w:pPr>
            <w:r>
              <w:rPr>
                <w:rFonts w:hint="eastAsia" w:ascii="宋体" w:hAnsi="宋体"/>
                <w:b/>
                <w:sz w:val="18"/>
                <w:szCs w:val="18"/>
                <w:lang w:val="en-US" w:eastAsia="zh-CN"/>
              </w:rPr>
              <w:t>用</w:t>
            </w:r>
            <w:r>
              <w:rPr>
                <w:rFonts w:hint="eastAsia" w:ascii="宋体" w:hAnsi="宋体"/>
                <w:b/>
                <w:sz w:val="18"/>
                <w:szCs w:val="18"/>
              </w:rPr>
              <w:t>量</w:t>
            </w:r>
          </w:p>
        </w:tc>
        <w:tc>
          <w:tcPr>
            <w:tcW w:w="3115" w:type="pct"/>
            <w:noWrap w:val="0"/>
            <w:vAlign w:val="center"/>
          </w:tcPr>
          <w:p>
            <w:pPr>
              <w:autoSpaceDE w:val="0"/>
              <w:autoSpaceDN w:val="0"/>
              <w:jc w:val="center"/>
              <w:rPr>
                <w:rFonts w:hint="eastAsia"/>
                <w:lang w:val="en-US" w:eastAsia="zh-CN"/>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299" w:type="pct"/>
            <w:noWrap w:val="0"/>
            <w:vAlign w:val="center"/>
          </w:tcPr>
          <w:p>
            <w:pPr>
              <w:autoSpaceDE w:val="0"/>
              <w:autoSpaceDN w:val="0"/>
              <w:jc w:val="center"/>
              <w:rPr>
                <w:rFonts w:hint="eastAsia" w:ascii="宋体" w:hAnsi="宋体"/>
                <w:sz w:val="21"/>
                <w:szCs w:val="21"/>
                <w:lang w:val="en-US" w:eastAsia="zh-CN"/>
              </w:rPr>
            </w:pPr>
            <w:r>
              <w:rPr>
                <w:rFonts w:hint="eastAsia" w:ascii="宋体" w:hAnsi="宋体"/>
                <w:sz w:val="21"/>
                <w:szCs w:val="21"/>
                <w:lang w:val="en-US" w:eastAsia="zh-CN"/>
              </w:rPr>
              <w:t>1</w:t>
            </w:r>
          </w:p>
        </w:tc>
        <w:tc>
          <w:tcPr>
            <w:tcW w:w="632"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一次性使用无菌血液透析导管</w:t>
            </w:r>
          </w:p>
        </w:tc>
        <w:tc>
          <w:tcPr>
            <w:tcW w:w="456"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500</w:t>
            </w:r>
          </w:p>
        </w:tc>
        <w:tc>
          <w:tcPr>
            <w:tcW w:w="4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80</w:t>
            </w:r>
          </w:p>
        </w:tc>
        <w:tc>
          <w:tcPr>
            <w:tcW w:w="3115"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numPr>
                <w:ilvl w:val="0"/>
                <w:numId w:val="1"/>
              </w:numPr>
              <w:rPr>
                <w:rFonts w:hint="default"/>
                <w:lang w:val="en-US" w:eastAsia="zh-CN"/>
              </w:rPr>
            </w:pPr>
            <w:r>
              <w:rPr>
                <w:rFonts w:hint="eastAsia"/>
                <w:lang w:val="en-US" w:eastAsia="zh-CN"/>
              </w:rPr>
              <w:t>由血液透析导管、穿刺针、导丝、扩张器、无菌注射器和注射针、输液接头、带线缝合针、手套、纱布块、医用中单等组成。</w:t>
            </w:r>
          </w:p>
          <w:p>
            <w:pPr>
              <w:pStyle w:val="2"/>
              <w:numPr>
                <w:ilvl w:val="0"/>
                <w:numId w:val="1"/>
              </w:numPr>
              <w:ind w:left="0" w:leftChars="0" w:firstLine="0" w:firstLineChars="0"/>
              <w:rPr>
                <w:rFonts w:hint="default"/>
                <w:lang w:val="en-US" w:eastAsia="zh-CN"/>
              </w:rPr>
            </w:pPr>
            <w:r>
              <w:rPr>
                <w:rFonts w:hint="eastAsia"/>
                <w:lang w:val="en-US" w:eastAsia="zh-CN"/>
              </w:rPr>
              <w:t>双腔。</w:t>
            </w:r>
          </w:p>
          <w:p>
            <w:pPr>
              <w:numPr>
                <w:ilvl w:val="0"/>
                <w:numId w:val="1"/>
              </w:numPr>
              <w:ind w:left="0" w:leftChars="0" w:firstLine="0" w:firstLineChars="0"/>
              <w:rPr>
                <w:rFonts w:hint="default"/>
                <w:lang w:val="en-US" w:eastAsia="zh-CN"/>
              </w:rPr>
            </w:pPr>
            <w:r>
              <w:rPr>
                <w:rFonts w:hint="eastAsia"/>
                <w:lang w:val="en-US" w:eastAsia="zh-CN"/>
              </w:rPr>
              <w:t>长度有8cm/13cm/20cm等可选。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299"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2</w:t>
            </w:r>
          </w:p>
        </w:tc>
        <w:tc>
          <w:tcPr>
            <w:tcW w:w="632"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一次性使用血液灌流器</w:t>
            </w:r>
          </w:p>
        </w:tc>
        <w:tc>
          <w:tcPr>
            <w:tcW w:w="456"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600</w:t>
            </w:r>
          </w:p>
        </w:tc>
        <w:tc>
          <w:tcPr>
            <w:tcW w:w="495"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30</w:t>
            </w:r>
          </w:p>
        </w:tc>
        <w:tc>
          <w:tcPr>
            <w:tcW w:w="3115" w:type="pct"/>
            <w:noWrap w:val="0"/>
            <w:vAlign w:val="top"/>
          </w:tcPr>
          <w:p>
            <w:pPr>
              <w:rPr>
                <w:rFonts w:hint="eastAsia"/>
                <w:lang w:val="en-US" w:eastAsia="zh-CN"/>
              </w:rPr>
            </w:pPr>
            <w:r>
              <w:rPr>
                <w:rFonts w:hint="eastAsia"/>
              </w:rPr>
              <w:t>▲</w:t>
            </w:r>
            <w:r>
              <w:rPr>
                <w:rFonts w:hint="eastAsia"/>
                <w:lang w:val="en-US" w:eastAsia="zh-CN"/>
              </w:rPr>
              <w:t>用途：与医院设备连续血液净化系统（品牌：费森尤斯，型号：C1-CA）配套使用，用于清除人体的毒性物质。</w:t>
            </w:r>
          </w:p>
          <w:p>
            <w:pPr>
              <w:pStyle w:val="2"/>
              <w:numPr>
                <w:ilvl w:val="0"/>
                <w:numId w:val="2"/>
              </w:numPr>
              <w:rPr>
                <w:rFonts w:hint="default"/>
                <w:lang w:val="en-US" w:eastAsia="zh-CN"/>
              </w:rPr>
            </w:pPr>
            <w:r>
              <w:rPr>
                <w:rFonts w:hint="eastAsia"/>
                <w:lang w:val="en-US" w:eastAsia="zh-CN"/>
              </w:rPr>
              <w:t>由罐体、吸附剂和填充液等组成。</w:t>
            </w:r>
          </w:p>
          <w:p>
            <w:pPr>
              <w:rPr>
                <w:rFonts w:hint="eastAsia"/>
                <w:lang w:val="en-US" w:eastAsia="zh-CN"/>
              </w:rPr>
            </w:pPr>
            <w:r>
              <w:rPr>
                <w:rFonts w:hint="eastAsia"/>
                <w:lang w:val="en-US" w:eastAsia="zh-CN"/>
              </w:rPr>
              <w:t>2.一次性使用。</w:t>
            </w:r>
          </w:p>
        </w:tc>
      </w:tr>
      <w:bookmarkEnd w:id="1"/>
    </w:tbl>
    <w:p>
      <w:pPr>
        <w:pStyle w:val="3"/>
        <w:shd w:val="clear"/>
        <w:spacing w:after="0" w:line="360" w:lineRule="auto"/>
        <w:ind w:firstLine="236" w:firstLineChars="98"/>
        <w:rPr>
          <w:rFonts w:hint="eastAsia" w:ascii="宋体" w:hAnsi="宋体" w:eastAsia="宋体" w:cs="仿宋"/>
          <w:sz w:val="24"/>
          <w:szCs w:val="24"/>
          <w:lang w:eastAsia="zh-CN"/>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商务要求</w:t>
      </w:r>
      <w:r>
        <w:rPr>
          <w:rFonts w:hint="eastAsia" w:ascii="宋体" w:hAnsi="宋体" w:eastAsia="宋体" w:cs="仿宋"/>
          <w:sz w:val="24"/>
          <w:szCs w:val="24"/>
          <w:lang w:eastAsia="zh-CN"/>
        </w:rPr>
        <w:t>）</w:t>
      </w:r>
    </w:p>
    <w:p>
      <w:pPr>
        <w:pStyle w:val="2"/>
        <w:rPr>
          <w:rFonts w:hint="eastAsia" w:ascii="宋体" w:hAnsi="宋体" w:eastAsia="宋体" w:cs="宋体"/>
          <w:i w:val="0"/>
          <w:caps w:val="0"/>
          <w:color w:val="333333"/>
          <w:spacing w:val="0"/>
          <w:sz w:val="21"/>
          <w:szCs w:val="21"/>
          <w:shd w:val="clear" w:fill="FFFFFF"/>
        </w:rPr>
      </w:pPr>
      <w:r>
        <w:rPr>
          <w:rFonts w:hint="eastAsia"/>
        </w:rPr>
        <w:t>▲1.</w:t>
      </w:r>
      <w:r>
        <w:rPr>
          <w:rFonts w:hint="eastAsia" w:ascii="宋体" w:hAnsi="宋体" w:eastAsia="宋体" w:cs="宋体"/>
          <w:i w:val="0"/>
          <w:caps w:val="0"/>
          <w:color w:val="333333"/>
          <w:spacing w:val="0"/>
          <w:sz w:val="21"/>
          <w:szCs w:val="21"/>
          <w:shd w:val="clear" w:fill="FFFFFF"/>
        </w:rPr>
        <w:t>供应商投标产品若为纳入国家医疗保障局《医保医用耗材分类与代码》目录且具有医疗器械注册证（不含一类医疗器械）和具有医疗器械注册证或备案凭证的体外诊断试剂，则必须为四川省药品和医用耗材招采管理系统挂网公示产品，提供挂网商品代码（</w:t>
      </w:r>
      <w:r>
        <w:rPr>
          <w:rFonts w:hint="eastAsia" w:ascii="宋体" w:hAnsi="宋体" w:eastAsia="宋体" w:cs="宋体"/>
          <w:b/>
          <w:i w:val="0"/>
          <w:caps w:val="0"/>
          <w:color w:val="333333"/>
          <w:spacing w:val="0"/>
          <w:sz w:val="21"/>
          <w:szCs w:val="21"/>
          <w:shd w:val="clear" w:fill="FFFFFF"/>
        </w:rPr>
        <w:t>已经挂网的需要提供集采平台挂网截图</w:t>
      </w:r>
      <w:r>
        <w:rPr>
          <w:rFonts w:hint="eastAsia" w:ascii="宋体" w:hAnsi="宋体" w:eastAsia="宋体" w:cs="宋体"/>
          <w:i w:val="0"/>
          <w:caps w:val="0"/>
          <w:color w:val="333333"/>
          <w:spacing w:val="0"/>
          <w:sz w:val="21"/>
          <w:szCs w:val="21"/>
          <w:shd w:val="clear" w:fill="FFFFFF"/>
        </w:rPr>
        <w:t>）。</w:t>
      </w:r>
    </w:p>
    <w:p>
      <w:pPr>
        <w:pStyle w:val="2"/>
      </w:pPr>
      <w:r>
        <w:rPr>
          <w:rFonts w:hint="eastAsia"/>
        </w:rPr>
        <w:t>▲2.供货期限：3年，采购数量以实际使用量为准。</w:t>
      </w:r>
    </w:p>
    <w:p>
      <w:pPr>
        <w:widowControl/>
        <w:shd w:val="clear"/>
        <w:spacing w:line="360" w:lineRule="auto"/>
        <w:jc w:val="left"/>
        <w:rPr>
          <w:rFonts w:hint="eastAsia"/>
        </w:rPr>
      </w:pPr>
      <w:r>
        <w:rPr>
          <w:rFonts w:hint="eastAsia"/>
        </w:rPr>
        <w:t>▲3.合同结算：本项目的“预估年度用量”、 供应商的“投标总价”仅做为报价评审依据，最终根据实际需求进行相应调整，结算以实际发生量乘以供应商挂网单价（未挂网按投标单价）结算。</w:t>
      </w:r>
    </w:p>
    <w:p>
      <w:pPr>
        <w:rPr>
          <w:rFonts w:hint="eastAsia"/>
        </w:rPr>
      </w:pPr>
      <w:r>
        <w:rPr>
          <w:rFonts w:hint="eastAsia"/>
        </w:rPr>
        <w:br w:type="page"/>
      </w:r>
    </w:p>
    <w:p>
      <w:pPr>
        <w:rPr>
          <w:rFonts w:hint="eastAsia"/>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48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48"/>
        <w:gridCol w:w="649"/>
        <w:gridCol w:w="3683"/>
        <w:gridCol w:w="3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639"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1348" w:type="dxa"/>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649"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3683"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3376"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1</w:t>
            </w:r>
          </w:p>
        </w:tc>
        <w:tc>
          <w:tcPr>
            <w:tcW w:w="1348"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64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30</w:t>
            </w:r>
          </w:p>
        </w:tc>
        <w:tc>
          <w:tcPr>
            <w:tcW w:w="3683" w:type="dxa"/>
            <w:vAlign w:val="center"/>
          </w:tcPr>
          <w:p>
            <w:pPr>
              <w:widowControl/>
              <w:wordWrap w:val="0"/>
              <w:spacing w:line="270" w:lineRule="atLeast"/>
              <w:jc w:val="left"/>
              <w:rPr>
                <w:rFonts w:ascii="宋体" w:hAnsi="宋体" w:cs="Segoe UI"/>
                <w:b/>
                <w:kern w:val="0"/>
                <w:sz w:val="18"/>
                <w:szCs w:val="18"/>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3376" w:type="dxa"/>
            <w:vAlign w:val="center"/>
          </w:tcPr>
          <w:p>
            <w:pPr>
              <w:widowControl/>
              <w:numPr>
                <w:ilvl w:val="0"/>
                <w:numId w:val="3"/>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3"/>
              </w:numPr>
              <w:wordWrap w:val="0"/>
              <w:spacing w:line="270" w:lineRule="atLeast"/>
              <w:jc w:val="left"/>
              <w:rPr>
                <w:rFonts w:ascii="宋体" w:hAnsi="宋体" w:cs="Segoe UI"/>
                <w:kern w:val="0"/>
                <w:sz w:val="18"/>
                <w:szCs w:val="18"/>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2</w:t>
            </w:r>
          </w:p>
        </w:tc>
        <w:tc>
          <w:tcPr>
            <w:tcW w:w="1348"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40</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default" w:ascii="宋体" w:hAnsi="宋体" w:eastAsia="宋体" w:cs="Segoe UI"/>
                <w:color w:val="333333"/>
                <w:kern w:val="0"/>
                <w:sz w:val="18"/>
                <w:szCs w:val="18"/>
                <w:lang w:val="en-US" w:eastAsia="zh-CN"/>
              </w:rPr>
            </w:pPr>
            <w:r>
              <w:rPr>
                <w:rFonts w:hint="eastAsia" w:ascii="宋体" w:hAnsi="宋体" w:cs="Segoe UI"/>
                <w:color w:val="000000"/>
                <w:kern w:val="0"/>
                <w:sz w:val="18"/>
                <w:szCs w:val="18"/>
                <w:lang w:val="en-US" w:eastAsia="zh-CN"/>
              </w:rPr>
              <w:t>40</w:t>
            </w:r>
          </w:p>
        </w:tc>
        <w:tc>
          <w:tcPr>
            <w:tcW w:w="3683" w:type="dxa"/>
            <w:vAlign w:val="center"/>
          </w:tcPr>
          <w:p>
            <w:pPr>
              <w:widowControl/>
              <w:wordWrap w:val="0"/>
              <w:spacing w:line="270" w:lineRule="atLeast"/>
              <w:jc w:val="left"/>
              <w:rPr>
                <w:rFonts w:ascii="宋体" w:hAnsi="宋体" w:cs="Segoe UI"/>
                <w:kern w:val="0"/>
                <w:sz w:val="18"/>
                <w:szCs w:val="18"/>
              </w:rPr>
            </w:pPr>
            <w:r>
              <w:rPr>
                <w:rFonts w:hint="eastAsia" w:ascii="宋体" w:hAnsi="宋体" w:cs="宋体"/>
                <w:kern w:val="0"/>
                <w:sz w:val="18"/>
                <w:szCs w:val="18"/>
              </w:rPr>
              <w:t>投标人提供的试剂耗材的技术参数完全符合招标文件要求，没有负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40</w:t>
            </w:r>
            <w:r>
              <w:rPr>
                <w:rFonts w:hint="eastAsia" w:ascii="宋体" w:hAnsi="宋体" w:cs="宋体"/>
                <w:color w:val="auto"/>
                <w:kern w:val="0"/>
                <w:sz w:val="18"/>
                <w:szCs w:val="18"/>
              </w:rPr>
              <w:t>分；非“★”条款技术参数不满足招标文件要求（负偏离），一次扣</w:t>
            </w:r>
            <w:r>
              <w:rPr>
                <w:rFonts w:hint="eastAsia" w:ascii="宋体" w:hAnsi="宋体" w:cs="宋体"/>
                <w:color w:val="auto"/>
                <w:kern w:val="0"/>
                <w:sz w:val="18"/>
                <w:szCs w:val="18"/>
                <w:lang w:val="en-US" w:eastAsia="zh-CN"/>
              </w:rPr>
              <w:t>8</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3376" w:type="dxa"/>
            <w:vAlign w:val="center"/>
          </w:tcPr>
          <w:p>
            <w:pPr>
              <w:widowControl/>
              <w:wordWrap w:val="0"/>
              <w:spacing w:line="270" w:lineRule="atLeast"/>
              <w:jc w:val="left"/>
              <w:rPr>
                <w:rFonts w:ascii="宋体" w:hAnsi="宋体" w:cs="Segoe UI"/>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3</w:t>
            </w:r>
          </w:p>
        </w:tc>
        <w:tc>
          <w:tcPr>
            <w:tcW w:w="1348" w:type="dxa"/>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lang w:val="en-US" w:eastAsia="zh-CN"/>
              </w:rPr>
              <w:t>11</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eastAsia" w:ascii="宋体" w:hAnsi="宋体" w:eastAsia="宋体" w:cs="Segoe UI"/>
                <w:color w:val="000000"/>
                <w:kern w:val="0"/>
                <w:sz w:val="18"/>
                <w:szCs w:val="18"/>
                <w:lang w:eastAsia="zh-CN"/>
              </w:rPr>
            </w:pPr>
            <w:r>
              <w:rPr>
                <w:rFonts w:hint="eastAsia" w:ascii="宋体" w:hAnsi="宋体" w:cs="Segoe UI"/>
                <w:color w:val="000000"/>
                <w:kern w:val="0"/>
                <w:sz w:val="18"/>
                <w:szCs w:val="18"/>
                <w:lang w:val="en-US" w:eastAsia="zh-CN"/>
              </w:rPr>
              <w:t>11</w:t>
            </w:r>
          </w:p>
        </w:tc>
        <w:tc>
          <w:tcPr>
            <w:tcW w:w="3683" w:type="dxa"/>
            <w:vAlign w:val="center"/>
          </w:tcPr>
          <w:p>
            <w:pPr>
              <w:wordWrap w:val="0"/>
              <w:spacing w:line="270" w:lineRule="atLeast"/>
              <w:jc w:val="left"/>
              <w:rPr>
                <w:rFonts w:ascii="宋体" w:hAnsi="宋体" w:cs="宋体"/>
                <w:kern w:val="0"/>
                <w:sz w:val="18"/>
                <w:szCs w:val="18"/>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3376" w:type="dxa"/>
            <w:vAlign w:val="center"/>
          </w:tcPr>
          <w:p>
            <w:pPr>
              <w:wordWrap w:val="0"/>
              <w:spacing w:line="270" w:lineRule="atLeast"/>
              <w:jc w:val="left"/>
              <w:rPr>
                <w:rFonts w:ascii="宋体" w:hAnsi="宋体" w:cs="宋体"/>
                <w:kern w:val="0"/>
                <w:sz w:val="18"/>
                <w:szCs w:val="18"/>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4</w:t>
            </w:r>
          </w:p>
        </w:tc>
        <w:tc>
          <w:tcPr>
            <w:tcW w:w="1348" w:type="dxa"/>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eastAsia" w:ascii="宋体" w:hAnsi="宋体" w:eastAsia="宋体" w:cs="Segoe UI"/>
                <w:color w:val="333333"/>
                <w:kern w:val="0"/>
                <w:sz w:val="18"/>
                <w:szCs w:val="18"/>
                <w:lang w:eastAsia="zh-CN"/>
              </w:rPr>
            </w:pPr>
            <w:r>
              <w:rPr>
                <w:rFonts w:hint="eastAsia" w:ascii="宋体" w:hAnsi="宋体" w:cs="Segoe UI"/>
                <w:color w:val="333333"/>
                <w:kern w:val="0"/>
                <w:sz w:val="18"/>
                <w:szCs w:val="18"/>
                <w:lang w:val="en-US" w:eastAsia="zh-CN"/>
              </w:rPr>
              <w:t>10</w:t>
            </w:r>
          </w:p>
        </w:tc>
        <w:tc>
          <w:tcPr>
            <w:tcW w:w="3683" w:type="dxa"/>
            <w:vAlign w:val="center"/>
          </w:tcPr>
          <w:p>
            <w:pPr>
              <w:widowControl/>
              <w:wordWrap w:val="0"/>
              <w:spacing w:line="270" w:lineRule="atLeast"/>
              <w:jc w:val="left"/>
              <w:rPr>
                <w:rFonts w:ascii="宋体" w:hAnsi="宋体" w:cs="宋体"/>
                <w:color w:val="333333"/>
                <w:kern w:val="0"/>
                <w:sz w:val="18"/>
                <w:szCs w:val="18"/>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21</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3376" w:type="dxa"/>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ascii="宋体" w:hAnsi="宋体" w:cs="Segoe UI"/>
                <w:color w:val="000000"/>
                <w:kern w:val="0"/>
                <w:sz w:val="18"/>
                <w:szCs w:val="18"/>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639"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5</w:t>
            </w:r>
          </w:p>
        </w:tc>
        <w:tc>
          <w:tcPr>
            <w:tcW w:w="1348" w:type="dxa"/>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649" w:type="dxa"/>
            <w:vAlign w:val="center"/>
          </w:tcPr>
          <w:p>
            <w:pPr>
              <w:widowControl/>
              <w:spacing w:line="320" w:lineRule="atLeast"/>
              <w:ind w:left="-105" w:leftChars="0" w:right="-107" w:rightChars="0"/>
              <w:jc w:val="center"/>
              <w:rPr>
                <w:rFonts w:ascii="宋体" w:hAnsi="宋体" w:cs="Segoe UI"/>
                <w:color w:val="333333"/>
                <w:kern w:val="0"/>
                <w:sz w:val="18"/>
                <w:szCs w:val="18"/>
              </w:rPr>
            </w:pPr>
            <w:r>
              <w:rPr>
                <w:rFonts w:hint="eastAsia" w:ascii="宋体" w:hAnsi="宋体" w:cs="Segoe UI"/>
                <w:color w:val="333333"/>
                <w:kern w:val="0"/>
                <w:sz w:val="18"/>
                <w:szCs w:val="18"/>
                <w:lang w:val="en-US" w:eastAsia="zh-CN"/>
              </w:rPr>
              <w:t>9</w:t>
            </w:r>
          </w:p>
        </w:tc>
        <w:tc>
          <w:tcPr>
            <w:tcW w:w="3683" w:type="dxa"/>
            <w:vAlign w:val="center"/>
          </w:tcPr>
          <w:p>
            <w:pPr>
              <w:wordWrap w:val="0"/>
              <w:jc w:val="left"/>
              <w:rPr>
                <w:rFonts w:ascii="宋体" w:hAnsi="宋体" w:cs="Segoe UI"/>
                <w:color w:val="000000"/>
                <w:kern w:val="0"/>
                <w:sz w:val="18"/>
                <w:szCs w:val="18"/>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3376" w:type="dxa"/>
            <w:vAlign w:val="center"/>
          </w:tcPr>
          <w:p>
            <w:pPr>
              <w:wordWrap w:val="0"/>
              <w:jc w:val="left"/>
              <w:rPr>
                <w:rFonts w:ascii="宋体" w:hAnsi="宋体" w:cs="Segoe UI"/>
                <w:color w:val="000000"/>
                <w:kern w:val="0"/>
                <w:sz w:val="18"/>
                <w:szCs w:val="18"/>
              </w:rPr>
            </w:pPr>
          </w:p>
        </w:tc>
      </w:tr>
    </w:tbl>
    <w:p>
      <w:pPr>
        <w:rPr>
          <w:rFonts w:hint="eastAsia" w:ascii="宋体" w:hAnsi="宋体" w:eastAsia="宋体" w:cs="Segoe UI"/>
          <w:b/>
          <w:bCs/>
          <w:kern w:val="0"/>
          <w:sz w:val="28"/>
          <w:szCs w:val="28"/>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21163"/>
      <w:bookmarkStart w:id="4" w:name="_Toc15614"/>
      <w:bookmarkStart w:id="5" w:name="_Toc21676"/>
      <w:bookmarkStart w:id="6" w:name="_Toc923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1076"/>
      <w:bookmarkStart w:id="8" w:name="_Toc5499"/>
      <w:bookmarkStart w:id="9" w:name="_Toc30275"/>
      <w:bookmarkStart w:id="10" w:name="_Toc60"/>
      <w:bookmarkStart w:id="11" w:name="_Toc5208"/>
      <w:bookmarkStart w:id="12" w:name="_Toc10689"/>
      <w:bookmarkStart w:id="13" w:name="_Toc14802"/>
      <w:bookmarkStart w:id="14" w:name="_Toc30494"/>
      <w:bookmarkStart w:id="15" w:name="_Toc12490"/>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28103"/>
      <w:bookmarkStart w:id="17" w:name="_Toc7067"/>
      <w:bookmarkStart w:id="18" w:name="_Toc30724"/>
      <w:bookmarkStart w:id="19" w:name="_Toc3081"/>
      <w:bookmarkStart w:id="20" w:name="_Toc26481"/>
      <w:bookmarkStart w:id="21" w:name="_Toc9131"/>
      <w:bookmarkStart w:id="22" w:name="_Toc3912"/>
      <w:bookmarkStart w:id="23" w:name="_Toc10183"/>
      <w:bookmarkStart w:id="24" w:name="_Toc10948"/>
      <w:bookmarkStart w:id="25" w:name="_Toc32214"/>
      <w:bookmarkStart w:id="26" w:name="_Toc13021"/>
      <w:bookmarkStart w:id="27" w:name="_Toc3392"/>
      <w:bookmarkStart w:id="28" w:name="_Toc18879"/>
      <w:bookmarkStart w:id="29" w:name="_Toc19115"/>
      <w:bookmarkStart w:id="30" w:name="_Toc8717"/>
      <w:bookmarkStart w:id="31" w:name="_Toc30080"/>
      <w:bookmarkStart w:id="32" w:name="_Toc18513"/>
      <w:bookmarkStart w:id="33" w:name="_Toc344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5196"/>
      <w:bookmarkStart w:id="35" w:name="_Toc30649"/>
      <w:bookmarkStart w:id="36" w:name="_Toc23645"/>
      <w:bookmarkStart w:id="37" w:name="_Toc9042"/>
      <w:bookmarkStart w:id="38" w:name="_Toc18259"/>
      <w:bookmarkStart w:id="39" w:name="_Toc7249"/>
      <w:bookmarkStart w:id="40" w:name="_Toc22795"/>
      <w:bookmarkStart w:id="41" w:name="_Toc10142"/>
      <w:bookmarkStart w:id="42" w:name="_Toc30920"/>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6548"/>
      <w:bookmarkStart w:id="46" w:name="_Toc19600"/>
      <w:bookmarkStart w:id="47" w:name="_Toc25516"/>
      <w:bookmarkStart w:id="48" w:name="_Toc3534"/>
      <w:bookmarkStart w:id="49" w:name="_Toc24117"/>
      <w:bookmarkStart w:id="50" w:name="_Toc21988"/>
      <w:bookmarkStart w:id="51" w:name="_Toc3004"/>
      <w:bookmarkStart w:id="52" w:name="_Toc4775"/>
      <w:bookmarkStart w:id="53" w:name="_Toc30083"/>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6764"/>
      <w:bookmarkStart w:id="55" w:name="_Toc22198"/>
      <w:bookmarkStart w:id="56" w:name="_Toc27376"/>
      <w:bookmarkStart w:id="57" w:name="_Toc23192"/>
      <w:bookmarkStart w:id="58" w:name="_Toc32166"/>
      <w:bookmarkStart w:id="59" w:name="_Toc3494"/>
      <w:bookmarkStart w:id="60" w:name="_Toc21982"/>
      <w:bookmarkStart w:id="61" w:name="_Toc16666"/>
      <w:bookmarkStart w:id="62" w:name="_Toc14887"/>
      <w:bookmarkStart w:id="63" w:name="_Toc691"/>
      <w:bookmarkStart w:id="64" w:name="_Toc12333"/>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4577"/>
      <w:bookmarkStart w:id="66" w:name="_Toc31581"/>
      <w:bookmarkStart w:id="67" w:name="_Toc1371"/>
      <w:bookmarkStart w:id="68" w:name="_Toc10013"/>
      <w:bookmarkStart w:id="69" w:name="_Toc3943"/>
      <w:bookmarkStart w:id="70" w:name="_Toc22606"/>
      <w:bookmarkStart w:id="71" w:name="_Toc25068"/>
      <w:bookmarkStart w:id="72" w:name="_Toc5412"/>
      <w:bookmarkStart w:id="73" w:name="_Toc9263"/>
      <w:bookmarkStart w:id="74" w:name="_Toc11914"/>
      <w:bookmarkStart w:id="75" w:name="_Toc14269"/>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1489"/>
      <w:bookmarkStart w:id="77" w:name="_Toc3908"/>
      <w:bookmarkStart w:id="78" w:name="_Toc29190"/>
      <w:bookmarkStart w:id="79" w:name="_Toc10600"/>
      <w:bookmarkStart w:id="80" w:name="_Toc2316"/>
      <w:bookmarkStart w:id="81" w:name="_Toc17108"/>
      <w:bookmarkStart w:id="82" w:name="_Toc18935"/>
      <w:bookmarkStart w:id="83" w:name="_Toc13267"/>
      <w:bookmarkStart w:id="84" w:name="_Toc2937"/>
      <w:bookmarkStart w:id="85" w:name="_Toc13677"/>
      <w:bookmarkStart w:id="86" w:name="_Toc31890"/>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4122"/>
      <w:bookmarkStart w:id="88" w:name="_Toc12088"/>
      <w:bookmarkStart w:id="89" w:name="_Toc1313"/>
      <w:bookmarkStart w:id="90" w:name="_Toc15916"/>
      <w:bookmarkStart w:id="91" w:name="_Toc32365"/>
      <w:bookmarkStart w:id="92" w:name="_Toc14252"/>
      <w:bookmarkStart w:id="93" w:name="_Toc21351"/>
      <w:bookmarkStart w:id="94" w:name="_Toc26756"/>
      <w:bookmarkStart w:id="95" w:name="_Toc31638"/>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2760"/>
      <w:bookmarkStart w:id="98" w:name="_Toc15894"/>
      <w:bookmarkStart w:id="99" w:name="_Toc18046"/>
      <w:bookmarkStart w:id="100" w:name="_Toc23212"/>
      <w:bookmarkStart w:id="101" w:name="_Toc11278"/>
      <w:bookmarkStart w:id="102" w:name="_Toc19589"/>
      <w:bookmarkStart w:id="103" w:name="_Toc27948"/>
      <w:bookmarkStart w:id="104" w:name="_Toc9398"/>
      <w:bookmarkStart w:id="105" w:name="_Toc27985"/>
      <w:bookmarkStart w:id="106" w:name="_Toc26609"/>
      <w:bookmarkStart w:id="107" w:name="_Toc10583"/>
      <w:bookmarkStart w:id="108" w:name="_Toc15083"/>
      <w:bookmarkStart w:id="109" w:name="_Toc2921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55"/>
      <w:bookmarkStart w:id="111" w:name="_Toc8940"/>
      <w:bookmarkStart w:id="112" w:name="_Toc27767"/>
      <w:bookmarkStart w:id="113" w:name="_Toc757"/>
      <w:bookmarkStart w:id="114" w:name="_Toc14546"/>
      <w:bookmarkStart w:id="115" w:name="_Toc24107"/>
      <w:bookmarkStart w:id="116" w:name="_Toc24671"/>
      <w:bookmarkStart w:id="117" w:name="_Toc8348"/>
      <w:bookmarkStart w:id="118" w:name="_Toc17204"/>
      <w:bookmarkStart w:id="119" w:name="_Toc17741"/>
      <w:bookmarkStart w:id="120" w:name="_Toc4116"/>
      <w:bookmarkStart w:id="121" w:name="_Toc8083"/>
      <w:bookmarkStart w:id="122" w:name="_Toc296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2682"/>
      <w:bookmarkStart w:id="124" w:name="_Toc8524"/>
      <w:bookmarkStart w:id="125" w:name="_Toc14781"/>
      <w:bookmarkStart w:id="126" w:name="_Toc20745"/>
      <w:bookmarkStart w:id="127" w:name="_Toc22243"/>
      <w:bookmarkStart w:id="128" w:name="_Toc5840"/>
      <w:bookmarkStart w:id="129" w:name="_Toc15917"/>
      <w:bookmarkStart w:id="130" w:name="_Toc10308"/>
      <w:bookmarkStart w:id="131" w:name="_Toc2003"/>
      <w:bookmarkStart w:id="132" w:name="_Toc24280"/>
      <w:bookmarkStart w:id="133" w:name="_Toc10950"/>
      <w:bookmarkStart w:id="134" w:name="_Toc10945"/>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36"/>
        <w:gridCol w:w="1308"/>
        <w:gridCol w:w="1874"/>
        <w:gridCol w:w="1309"/>
        <w:gridCol w:w="1570"/>
        <w:gridCol w:w="917"/>
        <w:gridCol w:w="1185"/>
        <w:gridCol w:w="936"/>
        <w:gridCol w:w="1967"/>
        <w:gridCol w:w="1074"/>
        <w:gridCol w:w="746"/>
        <w:gridCol w:w="746"/>
      </w:tblGrid>
      <w:tr>
        <w:tblPrEx>
          <w:shd w:val="clear" w:color="auto" w:fill="auto"/>
          <w:tblCellMar>
            <w:top w:w="0" w:type="dxa"/>
            <w:left w:w="0" w:type="dxa"/>
            <w:bottom w:w="0" w:type="dxa"/>
            <w:right w:w="0" w:type="dxa"/>
          </w:tblCellMar>
        </w:tblPrEx>
        <w:trPr>
          <w:trHeight w:val="735" w:hRule="atLeast"/>
          <w:jc w:val="center"/>
        </w:trPr>
        <w:tc>
          <w:tcPr>
            <w:tcW w:w="536"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874"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1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18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196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074"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46"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国家</w:t>
            </w:r>
            <w:r>
              <w:rPr>
                <w:rFonts w:hint="eastAsia" w:ascii="仿宋_GB2312" w:hAnsi="Segoe UI" w:eastAsia="仿宋_GB2312" w:cs="Segoe UI"/>
                <w:color w:val="000000" w:themeColor="text1"/>
                <w:kern w:val="0"/>
                <w:sz w:val="24"/>
                <w:szCs w:val="24"/>
              </w:rPr>
              <w:t>医保医用耗材分类与代码</w:t>
            </w:r>
          </w:p>
        </w:tc>
        <w:tc>
          <w:tcPr>
            <w:tcW w:w="746"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36"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36"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3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bookmarkStart w:id="135" w:name="_GoBack"/>
      <w:bookmarkEnd w:id="135"/>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abstractNum w:abstractNumId="1">
    <w:nsid w:val="1DDE648A"/>
    <w:multiLevelType w:val="singleLevel"/>
    <w:tmpl w:val="1DDE648A"/>
    <w:lvl w:ilvl="0" w:tentative="0">
      <w:start w:val="1"/>
      <w:numFmt w:val="decimal"/>
      <w:suff w:val="space"/>
      <w:lvlText w:val="%1."/>
      <w:lvlJc w:val="left"/>
    </w:lvl>
  </w:abstractNum>
  <w:abstractNum w:abstractNumId="2">
    <w:nsid w:val="311AE53C"/>
    <w:multiLevelType w:val="singleLevel"/>
    <w:tmpl w:val="311AE53C"/>
    <w:lvl w:ilvl="0" w:tentative="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9AD488A"/>
    <w:rsid w:val="0A99264E"/>
    <w:rsid w:val="0BF815CE"/>
    <w:rsid w:val="0DBB7E7D"/>
    <w:rsid w:val="0E911C5D"/>
    <w:rsid w:val="10954EC2"/>
    <w:rsid w:val="12A81059"/>
    <w:rsid w:val="13485B4A"/>
    <w:rsid w:val="14456F80"/>
    <w:rsid w:val="195D2073"/>
    <w:rsid w:val="1A37043E"/>
    <w:rsid w:val="1C462F83"/>
    <w:rsid w:val="228C2840"/>
    <w:rsid w:val="2306229A"/>
    <w:rsid w:val="26D9225C"/>
    <w:rsid w:val="272816FC"/>
    <w:rsid w:val="28203DA9"/>
    <w:rsid w:val="2E811DD5"/>
    <w:rsid w:val="357C4381"/>
    <w:rsid w:val="364F4E7F"/>
    <w:rsid w:val="365344A5"/>
    <w:rsid w:val="38BB478A"/>
    <w:rsid w:val="396510AC"/>
    <w:rsid w:val="3BA27AC6"/>
    <w:rsid w:val="3ED3727D"/>
    <w:rsid w:val="405F3E1B"/>
    <w:rsid w:val="41EE0E8D"/>
    <w:rsid w:val="4669398D"/>
    <w:rsid w:val="48983A5D"/>
    <w:rsid w:val="4AE36A9A"/>
    <w:rsid w:val="4B7A520A"/>
    <w:rsid w:val="4C5E41EC"/>
    <w:rsid w:val="4EE10A0C"/>
    <w:rsid w:val="51CB3FD0"/>
    <w:rsid w:val="53914C7E"/>
    <w:rsid w:val="5536063D"/>
    <w:rsid w:val="55F211D3"/>
    <w:rsid w:val="56183BA8"/>
    <w:rsid w:val="577B25E6"/>
    <w:rsid w:val="5C452678"/>
    <w:rsid w:val="5D2D064D"/>
    <w:rsid w:val="5DC03791"/>
    <w:rsid w:val="5FEC0FA4"/>
    <w:rsid w:val="60795DD8"/>
    <w:rsid w:val="61DB5EE7"/>
    <w:rsid w:val="62FA0171"/>
    <w:rsid w:val="637366D0"/>
    <w:rsid w:val="63E72E68"/>
    <w:rsid w:val="64ED5044"/>
    <w:rsid w:val="65C660EF"/>
    <w:rsid w:val="65DA011F"/>
    <w:rsid w:val="66D20681"/>
    <w:rsid w:val="672843F4"/>
    <w:rsid w:val="6A052BEC"/>
    <w:rsid w:val="6A1B1B87"/>
    <w:rsid w:val="6A38583D"/>
    <w:rsid w:val="6C0F1984"/>
    <w:rsid w:val="6CF82393"/>
    <w:rsid w:val="701306BF"/>
    <w:rsid w:val="70436B0A"/>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2024-06-14T02:31:15Z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