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sz w:val="40"/>
          <w:szCs w:val="44"/>
        </w:rPr>
        <w:t>*</w:t>
      </w:r>
      <w:r>
        <w:rPr>
          <w:rFonts w:hint="eastAsia" w:ascii="宋体" w:hAnsi="宋体" w:eastAsia="宋体" w:cs="仿宋"/>
          <w:bCs w:val="0"/>
          <w:sz w:val="24"/>
          <w:szCs w:val="24"/>
        </w:rPr>
        <w:t>”符号的条款为本项目的重要参数条款，未标识符号的条款为一般参数条款。</w:t>
      </w:r>
    </w:p>
    <w:bookmarkEnd w:id="0"/>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w:t>
      </w:r>
      <w:r>
        <w:rPr>
          <w:rFonts w:hint="eastAsia" w:ascii="宋体" w:hAnsi="宋体" w:eastAsia="宋体" w:cs="仿宋"/>
          <w:sz w:val="24"/>
          <w:szCs w:val="24"/>
          <w:lang w:val="en-US" w:eastAsia="zh-CN"/>
        </w:rPr>
        <w:tab/>
      </w:r>
      <w:r>
        <w:rPr>
          <w:rFonts w:hint="eastAsia" w:ascii="宋体" w:hAnsi="宋体" w:eastAsia="宋体" w:cs="仿宋"/>
          <w:sz w:val="24"/>
          <w:szCs w:val="24"/>
          <w:lang w:val="en-US" w:eastAsia="zh-CN"/>
        </w:rPr>
        <w:t>SCFY-YXZB202405-012（单）</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9万元</w:t>
      </w:r>
      <w:bookmarkStart w:id="135" w:name="_GoBack"/>
      <w:bookmarkEnd w:id="135"/>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Start w:id="1" w:name="_Toc217446095"/>
      <w:r>
        <w:rPr>
          <w:rFonts w:hint="eastAsia" w:ascii="宋体" w:hAnsi="宋体" w:eastAsia="宋体" w:cs="仿宋"/>
          <w:sz w:val="24"/>
          <w:szCs w:val="24"/>
        </w:rPr>
        <w:t>项目清单及技术要求：</w:t>
      </w:r>
    </w:p>
    <w:tbl>
      <w:tblPr>
        <w:tblStyle w:val="12"/>
        <w:tblW w:w="51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52"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3"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9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7"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395"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9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499"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rPr>
              <w:t>软组织扩张器</w:t>
            </w:r>
          </w:p>
        </w:tc>
        <w:tc>
          <w:tcPr>
            <w:tcW w:w="48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rPr>
              <w:t>3000</w:t>
            </w:r>
          </w:p>
        </w:tc>
        <w:tc>
          <w:tcPr>
            <w:tcW w:w="395"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rPr>
              <w:t>30个</w:t>
            </w:r>
          </w:p>
        </w:tc>
        <w:tc>
          <w:tcPr>
            <w:tcW w:w="2971" w:type="pct"/>
            <w:noWrap w:val="0"/>
            <w:vAlign w:val="top"/>
          </w:tcPr>
          <w:p>
            <w:pPr>
              <w:pStyle w:val="2"/>
              <w:numPr>
                <w:ilvl w:val="0"/>
                <w:numId w:val="1"/>
              </w:numPr>
              <w:rPr>
                <w:rFonts w:hint="eastAsia" w:eastAsia="宋体"/>
                <w:lang w:eastAsia="zh-CN"/>
              </w:rPr>
            </w:pPr>
            <w:r>
              <w:rPr>
                <w:rFonts w:hint="eastAsia"/>
              </w:rPr>
              <w:t>可用于二期乳房重建皮肤软组织的预扩张（圆形扩张器）</w:t>
            </w:r>
            <w:r>
              <w:rPr>
                <w:rFonts w:hint="eastAsia"/>
                <w:lang w:eastAsia="zh-CN"/>
              </w:rPr>
              <w:t>。</w:t>
            </w:r>
          </w:p>
          <w:p>
            <w:pPr>
              <w:numPr>
                <w:ilvl w:val="0"/>
                <w:numId w:val="1"/>
              </w:numPr>
              <w:ind w:left="0" w:leftChars="0" w:firstLine="0" w:firstLineChars="0"/>
              <w:rPr>
                <w:rFonts w:hint="eastAsia" w:eastAsia="宋体"/>
                <w:lang w:eastAsia="zh-CN"/>
              </w:rPr>
            </w:pPr>
            <w:r>
              <w:rPr>
                <w:rFonts w:hint="eastAsia"/>
              </w:rPr>
              <w:t>可用于局部软组织损伤修复软组织扩张皮瓣转移（圆形、肾行扩张器）</w:t>
            </w:r>
            <w:r>
              <w:rPr>
                <w:rFonts w:hint="eastAsia"/>
                <w:lang w:eastAsia="zh-CN"/>
              </w:rPr>
              <w:t>。</w:t>
            </w:r>
          </w:p>
          <w:p>
            <w:pPr>
              <w:pStyle w:val="2"/>
              <w:numPr>
                <w:ilvl w:val="0"/>
                <w:numId w:val="1"/>
              </w:numPr>
              <w:ind w:left="0" w:leftChars="0" w:firstLine="0" w:firstLineChars="0"/>
              <w:rPr>
                <w:rFonts w:hint="eastAsia" w:eastAsia="宋体"/>
                <w:lang w:eastAsia="zh-CN"/>
              </w:rPr>
            </w:pPr>
            <w:r>
              <w:rPr>
                <w:rFonts w:hint="eastAsia"/>
              </w:rPr>
              <w:t>保乳手术脂肪移植前组织临时填充（肾形，长方形扩张器）</w:t>
            </w:r>
            <w:r>
              <w:rPr>
                <w:rFonts w:hint="eastAsia"/>
                <w:lang w:eastAsia="zh-CN"/>
              </w:rPr>
              <w:t>。</w:t>
            </w:r>
          </w:p>
          <w:p>
            <w:pPr>
              <w:pStyle w:val="2"/>
              <w:numPr>
                <w:ilvl w:val="0"/>
                <w:numId w:val="1"/>
              </w:numPr>
              <w:ind w:left="0" w:leftChars="0" w:firstLine="0" w:firstLineChars="0"/>
              <w:rPr>
                <w:rFonts w:hint="eastAsia"/>
                <w:lang w:eastAsia="zh-CN"/>
              </w:rPr>
            </w:pPr>
            <w:r>
              <w:rPr>
                <w:rFonts w:hint="eastAsia"/>
                <w:lang w:val="en-US" w:eastAsia="zh-CN"/>
              </w:rPr>
              <w:t>容积</w:t>
            </w:r>
            <w:r>
              <w:rPr>
                <w:rFonts w:hint="eastAsia"/>
              </w:rPr>
              <w:t>最小至少15ml，最大不低于600ml</w:t>
            </w:r>
            <w:r>
              <w:rPr>
                <w:rFonts w:hint="eastAsia"/>
                <w:lang w:eastAsia="zh-CN"/>
              </w:rPr>
              <w:t>。</w:t>
            </w:r>
          </w:p>
          <w:p>
            <w:pPr>
              <w:pStyle w:val="2"/>
              <w:numPr>
                <w:ilvl w:val="0"/>
                <w:numId w:val="1"/>
              </w:numPr>
              <w:ind w:left="0" w:leftChars="0" w:firstLine="0" w:firstLineChars="0"/>
              <w:rPr>
                <w:rFonts w:hint="default" w:asciiTheme="minorHAnsi" w:hAnsiTheme="minorHAnsi" w:eastAsiaTheme="minorEastAsia" w:cstheme="minorBidi"/>
                <w:kern w:val="2"/>
                <w:sz w:val="21"/>
                <w:szCs w:val="22"/>
                <w:lang w:val="en-US" w:eastAsia="zh-CN" w:bidi="ar-SA"/>
              </w:rPr>
            </w:pPr>
            <w:r>
              <w:rPr>
                <w:rFonts w:hint="eastAsia"/>
                <w:lang w:val="en-US" w:eastAsia="zh-CN"/>
              </w:rPr>
              <w:t>产品经环氧乙烷灭菌，一次性使用。</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pPr>
      <w:r>
        <w:rPr>
          <w:rFonts w:hint="eastAsia"/>
        </w:rPr>
        <w:t>▲1.供应商投标产品若为Ⅱ、Ⅲ类医疗器械和具有医疗器械注册证或备案凭证的体外诊断试剂，则必须为四川省药械集中采购及医药价格监管平台挂网公示产品,并提供挂网商品代码（</w:t>
      </w:r>
      <w:r>
        <w:rPr>
          <w:rFonts w:hint="eastAsia"/>
          <w:b/>
          <w:bCs/>
        </w:rPr>
        <w:t>已经挂网的需要提供集采平台挂网截图</w:t>
      </w:r>
      <w:r>
        <w:rPr>
          <w:rFonts w:hint="eastAsia"/>
        </w:rPr>
        <w:t>）。</w:t>
      </w:r>
    </w:p>
    <w:p>
      <w:pPr>
        <w:pStyle w:val="2"/>
      </w:pPr>
      <w:r>
        <w:rPr>
          <w:rFonts w:hint="eastAsia"/>
        </w:rPr>
        <w:t>▲2.供货期限：3年，采购数量以实际使用量为准。</w:t>
      </w:r>
    </w:p>
    <w:p>
      <w:pPr>
        <w:pStyle w:val="2"/>
      </w:pPr>
      <w:r>
        <w:rPr>
          <w:rFonts w:hint="eastAsia"/>
        </w:rPr>
        <w:t>▲3.合同结算：本项目的“预估年度用量”、 供应商的“投标总价”仅做为报价评审依据，最终根据实际需求进行相应调整，结算以实际发生量乘以供应商挂网单价（未挂网按投标单价）结算。</w:t>
      </w:r>
    </w:p>
    <w:p>
      <w:pPr>
        <w:widowControl/>
        <w:shd w:val="clear"/>
        <w:spacing w:line="360" w:lineRule="auto"/>
        <w:jc w:val="left"/>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p>
    <w:p>
      <w:pPr>
        <w:pStyle w:val="2"/>
        <w:rPr>
          <w:rFonts w:hint="eastAsia"/>
        </w:rPr>
      </w:pPr>
    </w:p>
    <w:p>
      <w:pPr>
        <w:shd w:val="clea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21163"/>
      <w:bookmarkStart w:id="3" w:name="_Toc9234"/>
      <w:bookmarkStart w:id="4" w:name="_Toc15614"/>
      <w:bookmarkStart w:id="5" w:name="_Toc3414"/>
      <w:bookmarkStart w:id="6" w:name="_Toc21676"/>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4802"/>
      <w:bookmarkStart w:id="8" w:name="_Toc5208"/>
      <w:bookmarkStart w:id="9" w:name="_Toc30494"/>
      <w:bookmarkStart w:id="10" w:name="_Toc12490"/>
      <w:bookmarkStart w:id="11" w:name="_Toc10689"/>
      <w:bookmarkStart w:id="12" w:name="_Toc5499"/>
      <w:bookmarkStart w:id="13" w:name="_Toc11076"/>
      <w:bookmarkStart w:id="14" w:name="_Toc30275"/>
      <w:bookmarkStart w:id="15" w:name="_Toc60"/>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7067"/>
      <w:bookmarkStart w:id="17" w:name="_Toc30724"/>
      <w:bookmarkStart w:id="18" w:name="_Toc3081"/>
      <w:bookmarkStart w:id="19" w:name="_Toc26481"/>
      <w:bookmarkStart w:id="20" w:name="_Toc9131"/>
      <w:bookmarkStart w:id="21" w:name="_Toc3912"/>
      <w:bookmarkStart w:id="22" w:name="_Toc10183"/>
      <w:bookmarkStart w:id="23" w:name="_Toc28103"/>
      <w:bookmarkStart w:id="24" w:name="_Toc10948"/>
      <w:bookmarkStart w:id="25" w:name="_Toc13021"/>
      <w:bookmarkStart w:id="26" w:name="_Toc32214"/>
      <w:bookmarkStart w:id="27" w:name="_Toc3392"/>
      <w:bookmarkStart w:id="28" w:name="_Toc8717"/>
      <w:bookmarkStart w:id="29" w:name="_Toc30080"/>
      <w:bookmarkStart w:id="30" w:name="_Toc18513"/>
      <w:bookmarkStart w:id="31" w:name="_Toc3447"/>
      <w:bookmarkStart w:id="32" w:name="_Toc18879"/>
      <w:bookmarkStart w:id="33" w:name="_Toc19115"/>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8259"/>
      <w:bookmarkStart w:id="35" w:name="_Toc10142"/>
      <w:bookmarkStart w:id="36" w:name="_Toc30649"/>
      <w:bookmarkStart w:id="37" w:name="_Toc7249"/>
      <w:bookmarkStart w:id="38" w:name="_Toc15196"/>
      <w:bookmarkStart w:id="39" w:name="_Toc22795"/>
      <w:bookmarkStart w:id="40" w:name="_Toc9042"/>
      <w:bookmarkStart w:id="41" w:name="_Toc30920"/>
      <w:bookmarkStart w:id="42" w:name="_Toc23645"/>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6548"/>
      <w:bookmarkStart w:id="46" w:name="_Toc19600"/>
      <w:bookmarkStart w:id="47" w:name="_Toc25516"/>
      <w:bookmarkStart w:id="48" w:name="_Toc4775"/>
      <w:bookmarkStart w:id="49" w:name="_Toc24117"/>
      <w:bookmarkStart w:id="50" w:name="_Toc21988"/>
      <w:bookmarkStart w:id="51" w:name="_Toc30083"/>
      <w:bookmarkStart w:id="52" w:name="_Toc3534"/>
      <w:bookmarkStart w:id="53" w:name="_Toc300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6764"/>
      <w:bookmarkStart w:id="55" w:name="_Toc22198"/>
      <w:bookmarkStart w:id="56" w:name="_Toc27376"/>
      <w:bookmarkStart w:id="57" w:name="_Toc23192"/>
      <w:bookmarkStart w:id="58" w:name="_Toc16666"/>
      <w:bookmarkStart w:id="59" w:name="_Toc32166"/>
      <w:bookmarkStart w:id="60" w:name="_Toc21982"/>
      <w:bookmarkStart w:id="61" w:name="_Toc691"/>
      <w:bookmarkStart w:id="62" w:name="_Toc3494"/>
      <w:bookmarkStart w:id="63" w:name="_Toc12333"/>
      <w:bookmarkStart w:id="64" w:name="_Toc14887"/>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4577"/>
      <w:bookmarkStart w:id="66" w:name="_Toc22606"/>
      <w:bookmarkStart w:id="67" w:name="_Toc11914"/>
      <w:bookmarkStart w:id="68" w:name="_Toc10013"/>
      <w:bookmarkStart w:id="69" w:name="_Toc9263"/>
      <w:bookmarkStart w:id="70" w:name="_Toc14269"/>
      <w:bookmarkStart w:id="71" w:name="_Toc31581"/>
      <w:bookmarkStart w:id="72" w:name="_Toc25068"/>
      <w:bookmarkStart w:id="73" w:name="_Toc1371"/>
      <w:bookmarkStart w:id="74" w:name="_Toc3943"/>
      <w:bookmarkStart w:id="75" w:name="_Toc5412"/>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8935"/>
      <w:bookmarkStart w:id="77" w:name="_Toc13267"/>
      <w:bookmarkStart w:id="78" w:name="_Toc13677"/>
      <w:bookmarkStart w:id="79" w:name="_Toc3908"/>
      <w:bookmarkStart w:id="80" w:name="_Toc11489"/>
      <w:bookmarkStart w:id="81" w:name="_Toc29190"/>
      <w:bookmarkStart w:id="82" w:name="_Toc10600"/>
      <w:bookmarkStart w:id="83" w:name="_Toc31890"/>
      <w:bookmarkStart w:id="84" w:name="_Toc2937"/>
      <w:bookmarkStart w:id="85" w:name="_Toc17108"/>
      <w:bookmarkStart w:id="86" w:name="_Toc2316"/>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4122"/>
      <w:bookmarkStart w:id="88" w:name="_Toc14252"/>
      <w:bookmarkStart w:id="89" w:name="_Toc32365"/>
      <w:bookmarkStart w:id="90" w:name="_Toc31638"/>
      <w:bookmarkStart w:id="91" w:name="_Toc26756"/>
      <w:bookmarkStart w:id="92" w:name="_Toc21351"/>
      <w:bookmarkStart w:id="93" w:name="_Toc12088"/>
      <w:bookmarkStart w:id="94" w:name="_Toc15916"/>
      <w:bookmarkStart w:id="95" w:name="_Toc1313"/>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7948"/>
      <w:bookmarkStart w:id="98" w:name="_Toc27985"/>
      <w:bookmarkStart w:id="99" w:name="_Toc18046"/>
      <w:bookmarkStart w:id="100" w:name="_Toc22760"/>
      <w:bookmarkStart w:id="101" w:name="_Toc15894"/>
      <w:bookmarkStart w:id="102" w:name="_Toc23212"/>
      <w:bookmarkStart w:id="103" w:name="_Toc11278"/>
      <w:bookmarkStart w:id="104" w:name="_Toc19589"/>
      <w:bookmarkStart w:id="105" w:name="_Toc9398"/>
      <w:bookmarkStart w:id="106" w:name="_Toc10583"/>
      <w:bookmarkStart w:id="107" w:name="_Toc29215"/>
      <w:bookmarkStart w:id="108" w:name="_Toc15083"/>
      <w:bookmarkStart w:id="109" w:name="_Toc26609"/>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55"/>
      <w:bookmarkStart w:id="111" w:name="_Toc24671"/>
      <w:bookmarkStart w:id="112" w:name="_Toc17204"/>
      <w:bookmarkStart w:id="113" w:name="_Toc4116"/>
      <w:bookmarkStart w:id="114" w:name="_Toc757"/>
      <w:bookmarkStart w:id="115" w:name="_Toc29648"/>
      <w:bookmarkStart w:id="116" w:name="_Toc14546"/>
      <w:bookmarkStart w:id="117" w:name="_Toc27767"/>
      <w:bookmarkStart w:id="118" w:name="_Toc8940"/>
      <w:bookmarkStart w:id="119" w:name="_Toc24107"/>
      <w:bookmarkStart w:id="120" w:name="_Toc8348"/>
      <w:bookmarkStart w:id="121" w:name="_Toc17741"/>
      <w:bookmarkStart w:id="122" w:name="_Toc8083"/>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0950"/>
      <w:bookmarkStart w:id="124" w:name="_Toc8524"/>
      <w:bookmarkStart w:id="125" w:name="_Toc10945"/>
      <w:bookmarkStart w:id="126" w:name="_Toc12682"/>
      <w:bookmarkStart w:id="127" w:name="_Toc24280"/>
      <w:bookmarkStart w:id="128" w:name="_Toc10308"/>
      <w:bookmarkStart w:id="129" w:name="_Toc14781"/>
      <w:bookmarkStart w:id="130" w:name="_Toc2003"/>
      <w:bookmarkStart w:id="131" w:name="_Toc20745"/>
      <w:bookmarkStart w:id="132" w:name="_Toc22243"/>
      <w:bookmarkStart w:id="133" w:name="_Toc5840"/>
      <w:bookmarkStart w:id="134" w:name="_Toc15917"/>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36"/>
        <w:gridCol w:w="1308"/>
        <w:gridCol w:w="1874"/>
        <w:gridCol w:w="1309"/>
        <w:gridCol w:w="1570"/>
        <w:gridCol w:w="917"/>
        <w:gridCol w:w="1185"/>
        <w:gridCol w:w="936"/>
        <w:gridCol w:w="1967"/>
        <w:gridCol w:w="1074"/>
        <w:gridCol w:w="746"/>
        <w:gridCol w:w="746"/>
      </w:tblGrid>
      <w:tr>
        <w:tblPrEx>
          <w:shd w:val="clear" w:color="auto" w:fill="auto"/>
          <w:tblCellMar>
            <w:top w:w="0" w:type="dxa"/>
            <w:left w:w="0" w:type="dxa"/>
            <w:bottom w:w="0" w:type="dxa"/>
            <w:right w:w="0" w:type="dxa"/>
          </w:tblCellMar>
        </w:tblPrEx>
        <w:trPr>
          <w:trHeight w:val="735" w:hRule="atLeast"/>
          <w:jc w:val="center"/>
        </w:trPr>
        <w:tc>
          <w:tcPr>
            <w:tcW w:w="536"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874"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1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18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196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074"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46"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国家</w:t>
            </w:r>
            <w:r>
              <w:rPr>
                <w:rFonts w:hint="eastAsia" w:ascii="仿宋_GB2312" w:hAnsi="Segoe UI" w:eastAsia="仿宋_GB2312" w:cs="Segoe UI"/>
                <w:color w:val="000000" w:themeColor="text1"/>
                <w:kern w:val="0"/>
                <w:sz w:val="24"/>
                <w:szCs w:val="24"/>
              </w:rPr>
              <w:t>医保医用耗材分类与代码</w:t>
            </w:r>
          </w:p>
        </w:tc>
        <w:tc>
          <w:tcPr>
            <w:tcW w:w="746"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36"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36"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3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3A337E"/>
    <w:multiLevelType w:val="singleLevel"/>
    <w:tmpl w:val="9A3A337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46D40D1"/>
    <w:rsid w:val="053A5330"/>
    <w:rsid w:val="07953CAB"/>
    <w:rsid w:val="07B925A7"/>
    <w:rsid w:val="09AD488A"/>
    <w:rsid w:val="0A99264E"/>
    <w:rsid w:val="0BF815CE"/>
    <w:rsid w:val="0DBB7E7D"/>
    <w:rsid w:val="0E911C5D"/>
    <w:rsid w:val="10954EC2"/>
    <w:rsid w:val="12A81059"/>
    <w:rsid w:val="13485B4A"/>
    <w:rsid w:val="14456F80"/>
    <w:rsid w:val="195D2073"/>
    <w:rsid w:val="1A37043E"/>
    <w:rsid w:val="1C462F83"/>
    <w:rsid w:val="228C2840"/>
    <w:rsid w:val="2306229A"/>
    <w:rsid w:val="26D9225C"/>
    <w:rsid w:val="272816FC"/>
    <w:rsid w:val="28203DA9"/>
    <w:rsid w:val="2E811DD5"/>
    <w:rsid w:val="357C4381"/>
    <w:rsid w:val="364F4E7F"/>
    <w:rsid w:val="365344A5"/>
    <w:rsid w:val="38BB478A"/>
    <w:rsid w:val="396510AC"/>
    <w:rsid w:val="3BA27AC6"/>
    <w:rsid w:val="3ED3727D"/>
    <w:rsid w:val="405F3E1B"/>
    <w:rsid w:val="41EE0E8D"/>
    <w:rsid w:val="4669398D"/>
    <w:rsid w:val="48983A5D"/>
    <w:rsid w:val="4AE36A9A"/>
    <w:rsid w:val="4B7A520A"/>
    <w:rsid w:val="4C5E41EC"/>
    <w:rsid w:val="4EE10A0C"/>
    <w:rsid w:val="4FD346BA"/>
    <w:rsid w:val="51CB3FD0"/>
    <w:rsid w:val="5375291C"/>
    <w:rsid w:val="53914C7E"/>
    <w:rsid w:val="5536063D"/>
    <w:rsid w:val="55F211D3"/>
    <w:rsid w:val="56183BA8"/>
    <w:rsid w:val="577B25E6"/>
    <w:rsid w:val="5C452678"/>
    <w:rsid w:val="5D2D064D"/>
    <w:rsid w:val="5DC03791"/>
    <w:rsid w:val="5FEC0FA4"/>
    <w:rsid w:val="60795DD8"/>
    <w:rsid w:val="61DB5EE7"/>
    <w:rsid w:val="62FA0171"/>
    <w:rsid w:val="637366D0"/>
    <w:rsid w:val="63E72E68"/>
    <w:rsid w:val="64ED5044"/>
    <w:rsid w:val="65C660EF"/>
    <w:rsid w:val="65DA011F"/>
    <w:rsid w:val="66D20681"/>
    <w:rsid w:val="672843F4"/>
    <w:rsid w:val="6A052BEC"/>
    <w:rsid w:val="6A1B1B87"/>
    <w:rsid w:val="6A38583D"/>
    <w:rsid w:val="6C0F1984"/>
    <w:rsid w:val="6CF82393"/>
    <w:rsid w:val="701306BF"/>
    <w:rsid w:val="70436B0A"/>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2</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Administrator</cp:lastModifiedBy>
  <dcterms:modified xsi:type="dcterms:W3CDTF">2024-06-14T09:05:52Z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