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sz w:val="40"/>
          <w:szCs w:val="4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采购项目编号：SCFY-YXZB202406-003（磋）</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4.67万元</w:t>
      </w:r>
      <w:r>
        <w:rPr>
          <w:rFonts w:hint="eastAsia" w:ascii="宋体" w:hAnsi="宋体" w:eastAsia="宋体" w:cs="仿宋"/>
          <w:sz w:val="24"/>
          <w:szCs w:val="24"/>
        </w:rPr>
        <w:t xml:space="preserve"> </w:t>
      </w:r>
      <w:r>
        <w:rPr>
          <w:rFonts w:hint="eastAsia" w:ascii="宋体" w:hAnsi="宋体" w:eastAsia="宋体" w:cs="仿宋"/>
          <w:sz w:val="24"/>
          <w:szCs w:val="24"/>
          <w:lang w:val="en-US" w:eastAsia="zh-CN"/>
        </w:rPr>
        <w:t>/年</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bookmarkEnd w:id="1"/>
    <w:tbl>
      <w:tblPr>
        <w:tblStyle w:val="12"/>
        <w:tblW w:w="4845"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502"/>
        <w:gridCol w:w="1361"/>
        <w:gridCol w:w="1348"/>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right"/>
        </w:trPr>
        <w:tc>
          <w:tcPr>
            <w:tcW w:w="330"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777"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704"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698"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2488"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right"/>
        </w:trPr>
        <w:tc>
          <w:tcPr>
            <w:tcW w:w="330"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777"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一次性使用无菌内镜异物取出钳1</w:t>
            </w:r>
          </w:p>
        </w:tc>
        <w:tc>
          <w:tcPr>
            <w:tcW w:w="704"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580元</w:t>
            </w:r>
          </w:p>
        </w:tc>
        <w:tc>
          <w:tcPr>
            <w:tcW w:w="698"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20个</w:t>
            </w:r>
          </w:p>
        </w:tc>
        <w:tc>
          <w:tcPr>
            <w:tcW w:w="2488" w:type="pct"/>
            <w:noWrap w:val="0"/>
            <w:vAlign w:val="top"/>
          </w:tcPr>
          <w:p>
            <w:pPr>
              <w:widowControl/>
              <w:jc w:val="left"/>
              <w:textAlignment w:val="center"/>
              <w:rPr>
                <w:rFonts w:hint="eastAsia"/>
                <w:lang w:val="en-US" w:eastAsia="zh-CN"/>
              </w:rPr>
            </w:pPr>
            <w:r>
              <w:rPr>
                <w:rFonts w:hint="eastAsia"/>
              </w:rPr>
              <w:t>▲</w:t>
            </w:r>
            <w:r>
              <w:rPr>
                <w:rFonts w:hint="eastAsia"/>
                <w:lang w:val="en-US" w:eastAsia="zh-CN"/>
              </w:rPr>
              <w:t>用途：通过内镜钳道将人体自然腔道内的各种异物、 结石、已剥离的活组织等取出。</w:t>
            </w:r>
          </w:p>
          <w:p>
            <w:pPr>
              <w:numPr>
                <w:ilvl w:val="0"/>
                <w:numId w:val="1"/>
              </w:numPr>
              <w:ind w:left="0" w:leftChars="0" w:firstLine="0" w:firstLineChars="0"/>
              <w:rPr>
                <w:rFonts w:hint="default"/>
                <w:lang w:val="en-US" w:eastAsia="zh-CN"/>
              </w:rPr>
            </w:pPr>
            <w:r>
              <w:rPr>
                <w:rFonts w:hint="eastAsia"/>
                <w:lang w:val="en-US" w:eastAsia="zh-CN"/>
              </w:rPr>
              <w:t>能通过外径4.0操作通道孔径。</w:t>
            </w:r>
          </w:p>
          <w:p>
            <w:pPr>
              <w:numPr>
                <w:ilvl w:val="0"/>
                <w:numId w:val="1"/>
              </w:numPr>
              <w:ind w:left="0" w:leftChars="0" w:firstLine="0" w:firstLineChars="0"/>
              <w:rPr>
                <w:rFonts w:hint="default"/>
                <w:lang w:val="en-US" w:eastAsia="zh-CN"/>
              </w:rPr>
            </w:pPr>
            <w:r>
              <w:rPr>
                <w:rFonts w:hint="eastAsia"/>
                <w:lang w:val="en-US" w:eastAsia="zh-CN"/>
              </w:rPr>
              <w:t>能牢固抓住异物。</w:t>
            </w:r>
          </w:p>
          <w:p>
            <w:pPr>
              <w:pStyle w:val="2"/>
              <w:numPr>
                <w:ilvl w:val="0"/>
                <w:numId w:val="1"/>
              </w:numPr>
              <w:rPr>
                <w:rFonts w:hint="default"/>
                <w:lang w:val="en-US" w:eastAsia="zh-CN"/>
              </w:rPr>
            </w:pPr>
            <w:r>
              <w:rPr>
                <w:rFonts w:hint="eastAsia"/>
                <w:lang w:val="en-US" w:eastAsia="zh-CN"/>
              </w:rPr>
              <w:t>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right"/>
        </w:trPr>
        <w:tc>
          <w:tcPr>
            <w:tcW w:w="330" w:type="pct"/>
            <w:noWrap w:val="0"/>
            <w:vAlign w:val="center"/>
          </w:tcPr>
          <w:p>
            <w:pPr>
              <w:autoSpaceDE w:val="0"/>
              <w:autoSpaceDN w:val="0"/>
              <w:jc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777"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一次性使用无菌内镜异物取出钳2（网篮）</w:t>
            </w:r>
          </w:p>
        </w:tc>
        <w:tc>
          <w:tcPr>
            <w:tcW w:w="704"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1755元</w:t>
            </w:r>
          </w:p>
        </w:tc>
        <w:tc>
          <w:tcPr>
            <w:tcW w:w="698" w:type="pct"/>
            <w:noWrap w:val="0"/>
            <w:vAlign w:val="center"/>
          </w:tcPr>
          <w:p>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20个</w:t>
            </w:r>
          </w:p>
        </w:tc>
        <w:tc>
          <w:tcPr>
            <w:tcW w:w="2488" w:type="pct"/>
            <w:noWrap w:val="0"/>
            <w:vAlign w:val="top"/>
          </w:tcPr>
          <w:p>
            <w:pPr>
              <w:widowControl/>
              <w:jc w:val="left"/>
              <w:textAlignment w:val="center"/>
              <w:rPr>
                <w:rFonts w:hint="eastAsia"/>
                <w:lang w:val="en-US" w:eastAsia="zh-CN"/>
              </w:rPr>
            </w:pPr>
            <w:r>
              <w:rPr>
                <w:rFonts w:hint="eastAsia"/>
              </w:rPr>
              <w:t>▲</w:t>
            </w:r>
            <w:r>
              <w:rPr>
                <w:rFonts w:hint="eastAsia"/>
                <w:lang w:val="en-US" w:eastAsia="zh-CN"/>
              </w:rPr>
              <w:t>用途：通过内镜钳道将人体自然腔道内的各种异物、 结石、已剥离的活组织等取出。</w:t>
            </w:r>
          </w:p>
          <w:p>
            <w:pPr>
              <w:numPr>
                <w:ilvl w:val="0"/>
                <w:numId w:val="2"/>
              </w:numPr>
              <w:rPr>
                <w:rFonts w:hint="eastAsia"/>
                <w:lang w:val="en-US" w:eastAsia="zh-CN"/>
              </w:rPr>
            </w:pPr>
            <w:r>
              <w:rPr>
                <w:rFonts w:hint="eastAsia"/>
                <w:lang w:val="en-US" w:eastAsia="zh-CN"/>
              </w:rPr>
              <w:t>由</w:t>
            </w:r>
            <w:r>
              <w:rPr>
                <w:rFonts w:hint="default"/>
                <w:lang w:val="en-US" w:eastAsia="zh-CN"/>
              </w:rPr>
              <w:t>椭圆圈形头部、薄膜、软管、滑柄和手柄</w:t>
            </w:r>
            <w:r>
              <w:rPr>
                <w:rFonts w:hint="eastAsia"/>
                <w:lang w:val="en-US" w:eastAsia="zh-CN"/>
              </w:rPr>
              <w:t>等</w:t>
            </w:r>
            <w:r>
              <w:rPr>
                <w:rFonts w:hint="default"/>
                <w:lang w:val="en-US" w:eastAsia="zh-CN"/>
              </w:rPr>
              <w:t>组成</w:t>
            </w:r>
            <w:r>
              <w:rPr>
                <w:rFonts w:hint="eastAsia"/>
                <w:lang w:val="en-US" w:eastAsia="zh-CN"/>
              </w:rPr>
              <w:t>。</w:t>
            </w:r>
          </w:p>
          <w:p>
            <w:pPr>
              <w:numPr>
                <w:ilvl w:val="0"/>
                <w:numId w:val="2"/>
              </w:numPr>
              <w:ind w:left="0" w:leftChars="0" w:firstLine="0" w:firstLineChars="0"/>
              <w:rPr>
                <w:rFonts w:hint="default"/>
                <w:lang w:val="en-US" w:eastAsia="zh-CN"/>
              </w:rPr>
            </w:pPr>
            <w:r>
              <w:rPr>
                <w:rFonts w:hint="default"/>
                <w:lang w:val="en-US" w:eastAsia="zh-CN"/>
              </w:rPr>
              <w:t>头部最大外径</w:t>
            </w:r>
            <w:r>
              <w:rPr>
                <w:rFonts w:hint="eastAsia"/>
                <w:lang w:val="en-US" w:eastAsia="zh-CN"/>
              </w:rPr>
              <w:t>≥</w:t>
            </w:r>
            <w:r>
              <w:rPr>
                <w:rFonts w:hint="default"/>
                <w:lang w:val="en-US" w:eastAsia="zh-CN"/>
              </w:rPr>
              <w:t>Ф1.8，有效长度</w:t>
            </w:r>
            <w:r>
              <w:rPr>
                <w:rFonts w:hint="eastAsia"/>
                <w:lang w:val="en-US" w:eastAsia="zh-CN"/>
              </w:rPr>
              <w:t>≥</w:t>
            </w:r>
            <w:r>
              <w:rPr>
                <w:rFonts w:hint="default"/>
                <w:lang w:val="en-US" w:eastAsia="zh-CN"/>
              </w:rPr>
              <w:t>1000mm</w:t>
            </w:r>
            <w:r>
              <w:rPr>
                <w:rFonts w:hint="eastAsia"/>
                <w:lang w:val="en-US" w:eastAsia="zh-CN"/>
              </w:rPr>
              <w:t>，</w:t>
            </w:r>
            <w:r>
              <w:rPr>
                <w:rFonts w:hint="default"/>
                <w:lang w:val="en-US" w:eastAsia="zh-CN"/>
              </w:rPr>
              <w:t>开幅</w:t>
            </w:r>
            <w:r>
              <w:rPr>
                <w:rFonts w:hint="eastAsia"/>
                <w:lang w:val="en-US" w:eastAsia="zh-CN"/>
              </w:rPr>
              <w:t>≥</w:t>
            </w:r>
            <w:r>
              <w:rPr>
                <w:rFonts w:hint="default"/>
                <w:lang w:val="en-US" w:eastAsia="zh-CN"/>
              </w:rPr>
              <w:t>25mm</w:t>
            </w:r>
            <w:r>
              <w:rPr>
                <w:rFonts w:hint="eastAsia"/>
                <w:lang w:val="en-US" w:eastAsia="zh-CN"/>
              </w:rPr>
              <w:t>。</w:t>
            </w:r>
          </w:p>
          <w:p>
            <w:pPr>
              <w:pStyle w:val="2"/>
              <w:rPr>
                <w:rFonts w:hint="default"/>
                <w:lang w:val="en-US" w:eastAsia="zh-CN"/>
              </w:rPr>
            </w:pPr>
            <w:r>
              <w:rPr>
                <w:rFonts w:hint="eastAsia"/>
                <w:lang w:val="en-US" w:eastAsia="zh-CN"/>
              </w:rPr>
              <w:t>3.一次性使用。</w:t>
            </w:r>
          </w:p>
        </w:tc>
      </w:tr>
    </w:tbl>
    <w:p>
      <w:pPr>
        <w:pStyle w:val="3"/>
        <w:shd w:val="clear"/>
        <w:spacing w:after="0" w:line="360" w:lineRule="auto"/>
        <w:ind w:firstLine="236" w:firstLineChars="98"/>
        <w:rPr>
          <w:rFonts w:hint="eastAsia" w:ascii="宋体" w:hAnsi="宋体" w:eastAsia="宋体" w:cs="仿宋"/>
          <w:sz w:val="24"/>
          <w:szCs w:val="24"/>
          <w:lang w:eastAsia="zh-CN"/>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r>
        <w:rPr>
          <w:rFonts w:hint="eastAsia" w:ascii="宋体" w:hAnsi="宋体" w:eastAsia="宋体" w:cs="仿宋"/>
          <w:sz w:val="24"/>
          <w:szCs w:val="24"/>
          <w:lang w:eastAsia="zh-CN"/>
        </w:rPr>
        <w:t>（</w:t>
      </w:r>
      <w:r>
        <w:rPr>
          <w:rFonts w:hint="eastAsia" w:ascii="宋体" w:hAnsi="宋体" w:eastAsia="宋体" w:cs="仿宋"/>
          <w:sz w:val="24"/>
          <w:szCs w:val="24"/>
          <w:lang w:val="en-US" w:eastAsia="zh-CN"/>
        </w:rPr>
        <w:t>商务要求</w:t>
      </w:r>
      <w:r>
        <w:rPr>
          <w:rFonts w:hint="eastAsia" w:ascii="宋体" w:hAnsi="宋体" w:eastAsia="宋体" w:cs="仿宋"/>
          <w:sz w:val="24"/>
          <w:szCs w:val="24"/>
          <w:lang w:eastAsia="zh-CN"/>
        </w:rPr>
        <w:t>）</w:t>
      </w:r>
    </w:p>
    <w:p>
      <w:pPr>
        <w:pStyle w:val="2"/>
        <w:rPr>
          <w:rFonts w:hint="eastAsia" w:ascii="宋体" w:hAnsi="宋体" w:eastAsia="宋体" w:cs="宋体"/>
          <w:i w:val="0"/>
          <w:caps w:val="0"/>
          <w:color w:val="333333"/>
          <w:spacing w:val="0"/>
          <w:sz w:val="21"/>
          <w:szCs w:val="21"/>
          <w:shd w:val="clear" w:fill="FFFFFF"/>
        </w:rPr>
      </w:pPr>
      <w:r>
        <w:rPr>
          <w:rFonts w:hint="eastAsia"/>
        </w:rPr>
        <w:t>▲1.</w:t>
      </w:r>
      <w:r>
        <w:rPr>
          <w:rFonts w:hint="eastAsia" w:ascii="宋体" w:hAnsi="宋体" w:eastAsia="宋体" w:cs="宋体"/>
          <w:i w:val="0"/>
          <w:caps w:val="0"/>
          <w:color w:val="333333"/>
          <w:spacing w:val="0"/>
          <w:sz w:val="21"/>
          <w:szCs w:val="21"/>
          <w:shd w:val="clear" w:fill="FFFFFF"/>
        </w:rPr>
        <w:t>供应商投标产品若为纳入国家医疗保障局《医保医用耗材分类与代码》目录且具有医疗器械注册证（不含一类医疗器械）和具有医疗器械注册证或备案凭证的体外诊断试剂，则必须为四川省药品和医用耗材招采管理系统挂网公示产品，提供挂网商品代码（</w:t>
      </w:r>
      <w:r>
        <w:rPr>
          <w:rFonts w:hint="eastAsia" w:ascii="宋体" w:hAnsi="宋体" w:eastAsia="宋体" w:cs="宋体"/>
          <w:b/>
          <w:i w:val="0"/>
          <w:caps w:val="0"/>
          <w:color w:val="333333"/>
          <w:spacing w:val="0"/>
          <w:sz w:val="21"/>
          <w:szCs w:val="21"/>
          <w:shd w:val="clear" w:fill="FFFFFF"/>
        </w:rPr>
        <w:t>已经挂网的需要提供集采平台挂网截图</w:t>
      </w:r>
      <w:r>
        <w:rPr>
          <w:rFonts w:hint="eastAsia" w:ascii="宋体" w:hAnsi="宋体" w:eastAsia="宋体" w:cs="宋体"/>
          <w:i w:val="0"/>
          <w:caps w:val="0"/>
          <w:color w:val="333333"/>
          <w:spacing w:val="0"/>
          <w:sz w:val="21"/>
          <w:szCs w:val="21"/>
          <w:shd w:val="clear" w:fill="FFFFFF"/>
        </w:rPr>
        <w:t>）。</w:t>
      </w:r>
    </w:p>
    <w:p>
      <w:pPr>
        <w:pStyle w:val="2"/>
      </w:pPr>
      <w:r>
        <w:rPr>
          <w:rFonts w:hint="eastAsia"/>
        </w:rPr>
        <w:t>▲2.供货期限：3年，采购数量以实际使用量为准。</w:t>
      </w:r>
    </w:p>
    <w:p>
      <w:pPr>
        <w:widowControl/>
        <w:shd w:val="clear"/>
        <w:spacing w:line="360" w:lineRule="auto"/>
        <w:jc w:val="left"/>
        <w:rPr>
          <w:rFonts w:hint="eastAsia"/>
        </w:rPr>
      </w:pPr>
      <w:r>
        <w:rPr>
          <w:rFonts w:hint="eastAsia"/>
        </w:rPr>
        <w:t>▲3.合同结算：本项目的“预估年度用量”、 供应商的“投标总价”仅做为报价评审依据，最终根据实际需求进行相应调整，结算以实际发生量乘以供应商挂网单价（未挂网按投标单价）结算。</w:t>
      </w:r>
    </w:p>
    <w:p>
      <w:pPr>
        <w:widowControl/>
        <w:shd w:val="clear"/>
        <w:spacing w:line="360" w:lineRule="auto"/>
        <w:jc w:val="left"/>
        <w:rPr>
          <w:rFonts w:hint="eastAsia" w:ascii="宋体" w:hAnsi="宋体" w:eastAsia="宋体" w:cs="Segoe UI"/>
          <w:b/>
          <w:bCs/>
          <w:kern w:val="0"/>
          <w:sz w:val="28"/>
          <w:szCs w:val="28"/>
        </w:rPr>
      </w:pPr>
    </w:p>
    <w:p>
      <w:pPr>
        <w:pStyle w:val="2"/>
        <w:rPr>
          <w:rFonts w:hint="eastAsia"/>
        </w:rPr>
      </w:pP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20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502"/>
        <w:gridCol w:w="657"/>
        <w:gridCol w:w="3976"/>
        <w:gridCol w:w="3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307"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723" w:type="pct"/>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31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1916"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c>
          <w:tcPr>
            <w:tcW w:w="1735" w:type="pct"/>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1" w:hRule="atLeast"/>
          <w:jc w:val="right"/>
        </w:trPr>
        <w:tc>
          <w:tcPr>
            <w:tcW w:w="307"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723"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w:t>
            </w:r>
            <w:r>
              <w:rPr>
                <w:rFonts w:hint="eastAsia" w:ascii="宋体" w:hAnsi="宋体" w:cs="Segoe UI"/>
                <w:color w:val="000000"/>
                <w:kern w:val="0"/>
                <w:sz w:val="18"/>
                <w:szCs w:val="18"/>
              </w:rPr>
              <w:t>0%</w:t>
            </w:r>
          </w:p>
        </w:tc>
        <w:tc>
          <w:tcPr>
            <w:tcW w:w="316"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30</w:t>
            </w:r>
          </w:p>
        </w:tc>
        <w:tc>
          <w:tcPr>
            <w:tcW w:w="1916" w:type="pct"/>
            <w:noWrap w:val="0"/>
            <w:vAlign w:val="center"/>
          </w:tcPr>
          <w:p>
            <w:pPr>
              <w:widowControl/>
              <w:wordWrap w:val="0"/>
              <w:spacing w:line="270" w:lineRule="atLeast"/>
              <w:jc w:val="left"/>
              <w:rPr>
                <w:rFonts w:ascii="宋体" w:hAnsi="宋体" w:cs="Segoe UI"/>
                <w:b/>
                <w:kern w:val="0"/>
                <w:sz w:val="18"/>
                <w:szCs w:val="18"/>
                <w:lang w:val="en-US" w:eastAsia="zh-CN" w:bidi="ar-SA"/>
              </w:rPr>
            </w:pPr>
            <w:r>
              <w:rPr>
                <w:rFonts w:hint="eastAsia" w:ascii="宋体" w:hAnsi="宋体" w:cs="Segoe UI"/>
                <w:kern w:val="0"/>
                <w:sz w:val="18"/>
                <w:szCs w:val="18"/>
              </w:rPr>
              <w:t>投标材料满足招标文件要求且以</w:t>
            </w:r>
            <w:r>
              <w:rPr>
                <w:rFonts w:hint="eastAsia" w:ascii="宋体" w:hAnsi="宋体" w:cs="Segoe UI"/>
                <w:b/>
                <w:bCs/>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w:t>
            </w:r>
            <w:r>
              <w:rPr>
                <w:rFonts w:hint="eastAsia" w:ascii="宋体" w:hAnsi="宋体" w:cs="Segoe UI"/>
                <w:kern w:val="0"/>
                <w:sz w:val="18"/>
                <w:szCs w:val="18"/>
                <w:lang w:val="en-US" w:eastAsia="zh-CN"/>
              </w:rPr>
              <w:t>30</w:t>
            </w:r>
            <w:r>
              <w:rPr>
                <w:rFonts w:hint="eastAsia" w:ascii="宋体" w:hAnsi="宋体" w:cs="Segoe UI"/>
                <w:kern w:val="0"/>
                <w:sz w:val="18"/>
                <w:szCs w:val="18"/>
              </w:rPr>
              <w:t>分。其他投标</w:t>
            </w:r>
            <w:r>
              <w:rPr>
                <w:rFonts w:hint="eastAsia" w:ascii="宋体" w:hAnsi="宋体" w:cs="Segoe UI"/>
                <w:kern w:val="0"/>
                <w:sz w:val="18"/>
                <w:szCs w:val="18"/>
                <w:lang w:val="en-US" w:eastAsia="zh-CN"/>
              </w:rPr>
              <w:t>人</w:t>
            </w:r>
            <w:r>
              <w:rPr>
                <w:rFonts w:hint="eastAsia" w:ascii="宋体" w:hAnsi="宋体" w:cs="Segoe UI"/>
                <w:kern w:val="0"/>
                <w:sz w:val="18"/>
                <w:szCs w:val="18"/>
              </w:rPr>
              <w:t>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w:t>
            </w:r>
            <w:r>
              <w:rPr>
                <w:rFonts w:hint="eastAsia" w:ascii="宋体" w:hAnsi="宋体" w:cs="Segoe UI"/>
                <w:kern w:val="0"/>
                <w:sz w:val="18"/>
                <w:szCs w:val="18"/>
                <w:lang w:val="en-US" w:eastAsia="zh-CN"/>
              </w:rPr>
              <w:t>总</w:t>
            </w:r>
            <w:r>
              <w:rPr>
                <w:rFonts w:hint="eastAsia" w:ascii="宋体" w:hAnsi="宋体" w:cs="Segoe UI"/>
                <w:kern w:val="0"/>
                <w:sz w:val="18"/>
                <w:szCs w:val="18"/>
              </w:rPr>
              <w:t>价)×</w:t>
            </w:r>
            <w:r>
              <w:rPr>
                <w:rFonts w:hint="eastAsia" w:ascii="宋体" w:hAnsi="宋体" w:cs="Segoe UI"/>
                <w:kern w:val="0"/>
                <w:sz w:val="18"/>
                <w:szCs w:val="18"/>
                <w:lang w:val="en-US" w:eastAsia="zh-CN"/>
              </w:rPr>
              <w:t>30</w:t>
            </w:r>
          </w:p>
        </w:tc>
        <w:tc>
          <w:tcPr>
            <w:tcW w:w="1735" w:type="pct"/>
            <w:noWrap w:val="0"/>
            <w:vAlign w:val="center"/>
          </w:tcPr>
          <w:p>
            <w:pPr>
              <w:widowControl/>
              <w:numPr>
                <w:ilvl w:val="0"/>
                <w:numId w:val="3"/>
              </w:numPr>
              <w:wordWrap w:val="0"/>
              <w:spacing w:line="270" w:lineRule="atLeast"/>
              <w:jc w:val="left"/>
              <w:rPr>
                <w:rFonts w:hint="eastAsia" w:ascii="宋体" w:hAnsi="宋体" w:cs="Segoe UI"/>
                <w:kern w:val="0"/>
                <w:sz w:val="18"/>
                <w:szCs w:val="18"/>
                <w:lang w:val="en-US" w:eastAsia="zh-CN"/>
              </w:rPr>
            </w:pPr>
            <w:r>
              <w:rPr>
                <w:rFonts w:hint="eastAsia" w:ascii="宋体" w:hAnsi="宋体" w:cs="Segoe UI"/>
                <w:b/>
                <w:kern w:val="0"/>
                <w:sz w:val="18"/>
                <w:szCs w:val="18"/>
                <w:lang w:val="en-US" w:eastAsia="zh-CN"/>
              </w:rPr>
              <w:t>投标</w:t>
            </w:r>
            <w:r>
              <w:rPr>
                <w:rFonts w:hint="eastAsia" w:ascii="宋体" w:hAnsi="宋体" w:cs="Segoe UI"/>
                <w:b/>
                <w:kern w:val="0"/>
                <w:sz w:val="18"/>
                <w:szCs w:val="18"/>
              </w:rPr>
              <w:t>总价</w:t>
            </w:r>
            <w:r>
              <w:rPr>
                <w:rFonts w:hint="eastAsia" w:ascii="宋体" w:hAnsi="宋体" w:cs="Segoe UI"/>
                <w:kern w:val="0"/>
                <w:sz w:val="18"/>
                <w:szCs w:val="18"/>
              </w:rPr>
              <w:t>=单价*预估</w:t>
            </w:r>
            <w:r>
              <w:rPr>
                <w:rFonts w:hint="eastAsia" w:ascii="宋体" w:hAnsi="宋体" w:cs="Segoe UI"/>
                <w:kern w:val="0"/>
                <w:sz w:val="18"/>
                <w:szCs w:val="18"/>
                <w:lang w:val="en-US" w:eastAsia="zh-CN"/>
              </w:rPr>
              <w:t>年度</w:t>
            </w:r>
            <w:r>
              <w:rPr>
                <w:rFonts w:hint="eastAsia" w:ascii="宋体" w:hAnsi="宋体" w:cs="Segoe UI"/>
                <w:kern w:val="0"/>
                <w:sz w:val="18"/>
                <w:szCs w:val="18"/>
              </w:rPr>
              <w:t>用量之和</w:t>
            </w:r>
            <w:r>
              <w:rPr>
                <w:rFonts w:hint="eastAsia" w:ascii="宋体" w:hAnsi="宋体" w:cs="Segoe UI"/>
                <w:kern w:val="0"/>
                <w:sz w:val="18"/>
                <w:szCs w:val="18"/>
                <w:lang w:val="en-US" w:eastAsia="zh-CN"/>
              </w:rPr>
              <w:t>;</w:t>
            </w:r>
          </w:p>
          <w:p>
            <w:pPr>
              <w:widowControl/>
              <w:numPr>
                <w:ilvl w:val="0"/>
                <w:numId w:val="3"/>
              </w:numPr>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产品有细分规格且报价不同，则按照同品类平均价计算单价</w:t>
            </w:r>
            <w:r>
              <w:rPr>
                <w:rFonts w:hint="eastAsia" w:ascii="宋体" w:hAnsi="宋体" w:cs="宋体"/>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37" w:hRule="atLeast"/>
          <w:jc w:val="right"/>
        </w:trPr>
        <w:tc>
          <w:tcPr>
            <w:tcW w:w="307" w:type="pct"/>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723" w:type="pct"/>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42</w:t>
            </w:r>
            <w:r>
              <w:rPr>
                <w:rFonts w:hint="eastAsia" w:ascii="宋体" w:hAnsi="宋体" w:cs="Segoe UI"/>
                <w:color w:val="000000"/>
                <w:kern w:val="0"/>
                <w:sz w:val="18"/>
                <w:szCs w:val="18"/>
              </w:rPr>
              <w:t>%</w:t>
            </w:r>
          </w:p>
        </w:tc>
        <w:tc>
          <w:tcPr>
            <w:tcW w:w="316"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lang w:val="en-US" w:eastAsia="zh-CN"/>
              </w:rPr>
              <w:t>42</w:t>
            </w:r>
          </w:p>
        </w:tc>
        <w:tc>
          <w:tcPr>
            <w:tcW w:w="1916"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w:t>
            </w:r>
            <w:r>
              <w:rPr>
                <w:rFonts w:hint="eastAsia" w:ascii="宋体" w:hAnsi="宋体" w:cs="宋体"/>
                <w:color w:val="auto"/>
                <w:kern w:val="0"/>
                <w:sz w:val="18"/>
                <w:szCs w:val="18"/>
              </w:rPr>
              <w:t>试剂耗材的技术参数完全符合招标文件要求，没有负偏离得</w:t>
            </w:r>
            <w:r>
              <w:rPr>
                <w:rFonts w:hint="eastAsia" w:ascii="宋体" w:hAnsi="宋体" w:cs="宋体"/>
                <w:color w:val="auto"/>
                <w:kern w:val="0"/>
                <w:sz w:val="18"/>
                <w:szCs w:val="18"/>
                <w:lang w:val="en-US" w:eastAsia="zh-CN"/>
              </w:rPr>
              <w:t>42</w:t>
            </w:r>
            <w:r>
              <w:rPr>
                <w:rFonts w:hint="eastAsia" w:ascii="宋体" w:hAnsi="宋体" w:cs="宋体"/>
                <w:color w:val="auto"/>
                <w:kern w:val="0"/>
                <w:sz w:val="18"/>
                <w:szCs w:val="18"/>
              </w:rPr>
              <w:t>分；非“*”条款技术参数不满足招标文件要求（负偏离），一次扣</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分，</w:t>
            </w:r>
            <w:r>
              <w:rPr>
                <w:rFonts w:hint="eastAsia" w:ascii="宋体" w:hAnsi="宋体" w:cs="宋体"/>
                <w:kern w:val="0"/>
                <w:sz w:val="18"/>
                <w:szCs w:val="18"/>
              </w:rPr>
              <w:t>扣完为止。</w:t>
            </w:r>
          </w:p>
        </w:tc>
        <w:tc>
          <w:tcPr>
            <w:tcW w:w="1735" w:type="pct"/>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 </w:t>
            </w:r>
            <w:bookmarkStart w:id="135" w:name="_GoBack"/>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01" w:hRule="atLeast"/>
          <w:jc w:val="right"/>
        </w:trPr>
        <w:tc>
          <w:tcPr>
            <w:tcW w:w="307"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723"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11</w:t>
            </w:r>
            <w:r>
              <w:rPr>
                <w:rFonts w:hint="eastAsia" w:ascii="宋体" w:hAnsi="宋体" w:cs="Segoe UI"/>
                <w:color w:val="000000"/>
                <w:kern w:val="0"/>
                <w:sz w:val="18"/>
                <w:szCs w:val="18"/>
              </w:rPr>
              <w:t>%</w:t>
            </w:r>
          </w:p>
        </w:tc>
        <w:tc>
          <w:tcPr>
            <w:tcW w:w="316"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11</w:t>
            </w:r>
          </w:p>
        </w:tc>
        <w:tc>
          <w:tcPr>
            <w:tcW w:w="1916"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提供</w:t>
            </w:r>
            <w:r>
              <w:rPr>
                <w:rFonts w:hint="eastAsia" w:ascii="宋体" w:hAnsi="宋体" w:cs="宋体"/>
                <w:kern w:val="0"/>
                <w:sz w:val="18"/>
                <w:szCs w:val="18"/>
                <w:lang w:val="en-US" w:eastAsia="zh-CN"/>
              </w:rPr>
              <w:t>响应</w:t>
            </w:r>
            <w:r>
              <w:rPr>
                <w:rFonts w:hint="eastAsia" w:ascii="宋体" w:hAnsi="宋体" w:cs="宋体"/>
                <w:kern w:val="0"/>
                <w:sz w:val="18"/>
                <w:szCs w:val="18"/>
              </w:rPr>
              <w:t>产品样品，根据样品的外观、材质、性能、是否符合临床需求等综合评定，优9-1</w:t>
            </w:r>
            <w:r>
              <w:rPr>
                <w:rFonts w:hint="eastAsia" w:ascii="宋体" w:hAnsi="宋体" w:cs="宋体"/>
                <w:kern w:val="0"/>
                <w:sz w:val="18"/>
                <w:szCs w:val="18"/>
                <w:lang w:val="en-US" w:eastAsia="zh-CN"/>
              </w:rPr>
              <w:t>1</w:t>
            </w:r>
            <w:r>
              <w:rPr>
                <w:rFonts w:hint="eastAsia" w:ascii="宋体" w:hAnsi="宋体" w:cs="宋体"/>
                <w:kern w:val="0"/>
                <w:sz w:val="18"/>
                <w:szCs w:val="18"/>
              </w:rPr>
              <w:t>分；良得6-8分；差得1-5分；未提供或提供不全本项不得分。</w:t>
            </w:r>
          </w:p>
        </w:tc>
        <w:tc>
          <w:tcPr>
            <w:tcW w:w="1735" w:type="pct"/>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要求提供的样品</w:t>
            </w:r>
            <w:r>
              <w:rPr>
                <w:rFonts w:hint="eastAsia" w:ascii="宋体" w:hAnsi="宋体" w:cs="宋体"/>
                <w:b/>
                <w:bCs/>
                <w:kern w:val="0"/>
                <w:sz w:val="18"/>
                <w:szCs w:val="18"/>
              </w:rPr>
              <w:t>将品牌LOGO等信息遮住</w:t>
            </w:r>
            <w:r>
              <w:rPr>
                <w:rFonts w:hint="eastAsia" w:ascii="宋体" w:hAnsi="宋体" w:cs="宋体"/>
                <w:kern w:val="0"/>
                <w:sz w:val="18"/>
                <w:szCs w:val="18"/>
              </w:rPr>
              <w:t>。（样品品牌信息遮挡不全不得分）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75" w:hRule="atLeast"/>
          <w:jc w:val="right"/>
        </w:trPr>
        <w:tc>
          <w:tcPr>
            <w:tcW w:w="307" w:type="pct"/>
            <w:noWrap w:val="0"/>
            <w:vAlign w:val="center"/>
          </w:tcPr>
          <w:p>
            <w:pPr>
              <w:widowControl/>
              <w:wordWrap w:val="0"/>
              <w:spacing w:line="270" w:lineRule="atLeast"/>
              <w:jc w:val="center"/>
              <w:rPr>
                <w:rFonts w:hint="eastAsia" w:ascii="宋体" w:hAnsi="宋体" w:cs="Segoe UI"/>
                <w:color w:val="333333"/>
                <w:kern w:val="0"/>
                <w:sz w:val="18"/>
                <w:szCs w:val="18"/>
                <w:lang w:val="en-US" w:eastAsia="zh-CN" w:bidi="ar-SA"/>
              </w:rPr>
            </w:pPr>
            <w:r>
              <w:rPr>
                <w:rFonts w:hint="eastAsia" w:ascii="宋体" w:hAnsi="宋体" w:cs="Segoe UI"/>
                <w:color w:val="000000"/>
                <w:kern w:val="0"/>
                <w:sz w:val="18"/>
                <w:szCs w:val="18"/>
              </w:rPr>
              <w:t>4</w:t>
            </w:r>
          </w:p>
        </w:tc>
        <w:tc>
          <w:tcPr>
            <w:tcW w:w="723" w:type="pct"/>
            <w:noWrap w:val="0"/>
            <w:vAlign w:val="center"/>
          </w:tcPr>
          <w:p>
            <w:pPr>
              <w:widowControl/>
              <w:wordWrap w:val="0"/>
              <w:spacing w:line="270" w:lineRule="atLeast"/>
              <w:jc w:val="center"/>
              <w:rPr>
                <w:rFonts w:hint="eastAsia"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lang w:val="en-US" w:eastAsia="zh-CN"/>
              </w:rPr>
              <w:t>8</w:t>
            </w:r>
            <w:r>
              <w:rPr>
                <w:rFonts w:hint="eastAsia" w:ascii="宋体" w:hAnsi="宋体" w:cs="Segoe UI"/>
                <w:color w:val="000000"/>
                <w:kern w:val="0"/>
                <w:sz w:val="18"/>
                <w:szCs w:val="18"/>
              </w:rPr>
              <w:t>%</w:t>
            </w:r>
          </w:p>
        </w:tc>
        <w:tc>
          <w:tcPr>
            <w:tcW w:w="316" w:type="pct"/>
            <w:noWrap w:val="0"/>
            <w:vAlign w:val="center"/>
          </w:tcPr>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8</w:t>
            </w:r>
          </w:p>
        </w:tc>
        <w:tc>
          <w:tcPr>
            <w:tcW w:w="1916" w:type="pct"/>
            <w:noWrap w:val="0"/>
            <w:vAlign w:val="center"/>
          </w:tcPr>
          <w:p>
            <w:pPr>
              <w:widowControl/>
              <w:wordWrap w:val="0"/>
              <w:spacing w:line="270" w:lineRule="atLeast"/>
              <w:jc w:val="left"/>
              <w:rPr>
                <w:rFonts w:hint="eastAsia" w:ascii="宋体" w:hAnsi="宋体" w:eastAsia="宋体" w:cs="宋体"/>
                <w:color w:val="333333"/>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w:t>
            </w:r>
            <w:r>
              <w:rPr>
                <w:rFonts w:hint="eastAsia" w:ascii="宋体" w:hAnsi="宋体" w:cs="宋体"/>
                <w:b/>
                <w:bCs/>
                <w:color w:val="000000"/>
                <w:kern w:val="0"/>
                <w:sz w:val="18"/>
                <w:szCs w:val="18"/>
                <w:lang w:eastAsia="zh-CN"/>
              </w:rPr>
              <w:t>人</w:t>
            </w: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21</w:t>
            </w:r>
            <w:r>
              <w:rPr>
                <w:rFonts w:hint="eastAsia" w:ascii="宋体" w:hAnsi="宋体" w:cs="宋体"/>
                <w:color w:val="000000"/>
                <w:kern w:val="0"/>
                <w:sz w:val="18"/>
                <w:szCs w:val="18"/>
              </w:rPr>
              <w:t>年以来</w:t>
            </w:r>
            <w:r>
              <w:rPr>
                <w:rFonts w:hint="eastAsia" w:ascii="宋体" w:hAnsi="宋体" w:cs="宋体"/>
                <w:color w:val="000000"/>
                <w:kern w:val="0"/>
                <w:sz w:val="18"/>
                <w:szCs w:val="18"/>
                <w:lang w:eastAsia="zh-CN"/>
              </w:rPr>
              <w:t>在</w:t>
            </w:r>
            <w:r>
              <w:rPr>
                <w:rFonts w:hint="eastAsia" w:ascii="宋体" w:hAnsi="宋体" w:cs="宋体"/>
                <w:color w:val="000000"/>
                <w:kern w:val="0"/>
                <w:sz w:val="18"/>
                <w:szCs w:val="18"/>
              </w:rPr>
              <w:t>国内三甲医疗机构</w:t>
            </w:r>
            <w:r>
              <w:rPr>
                <w:rFonts w:hint="eastAsia" w:ascii="宋体" w:hAnsi="宋体" w:cs="宋体"/>
                <w:color w:val="000000"/>
                <w:kern w:val="0"/>
                <w:sz w:val="18"/>
                <w:szCs w:val="18"/>
                <w:lang w:eastAsia="zh-CN"/>
              </w:rPr>
              <w:t>销售</w:t>
            </w:r>
            <w:r>
              <w:rPr>
                <w:rFonts w:hint="eastAsia" w:ascii="宋体" w:hAnsi="宋体" w:cs="宋体"/>
                <w:b/>
                <w:bCs/>
                <w:color w:val="000000"/>
                <w:kern w:val="0"/>
                <w:sz w:val="18"/>
                <w:szCs w:val="18"/>
                <w:lang w:val="en-US" w:eastAsia="zh-CN"/>
              </w:rPr>
              <w:t>响应</w:t>
            </w:r>
            <w:r>
              <w:rPr>
                <w:rFonts w:hint="eastAsia" w:ascii="宋体" w:hAnsi="宋体" w:cs="宋体"/>
                <w:b/>
                <w:bCs/>
                <w:color w:val="000000"/>
                <w:kern w:val="0"/>
                <w:sz w:val="18"/>
                <w:szCs w:val="18"/>
                <w:lang w:eastAsia="zh-CN"/>
              </w:rPr>
              <w:t>产品</w:t>
            </w:r>
            <w:r>
              <w:rPr>
                <w:rFonts w:hint="eastAsia" w:ascii="宋体" w:hAnsi="宋体" w:cs="宋体"/>
                <w:color w:val="000000"/>
                <w:kern w:val="0"/>
                <w:sz w:val="18"/>
                <w:szCs w:val="18"/>
                <w:lang w:eastAsia="zh-CN"/>
              </w:rPr>
              <w:t>的业绩证明</w:t>
            </w:r>
            <w:r>
              <w:rPr>
                <w:rFonts w:hint="eastAsia" w:ascii="宋体" w:hAnsi="宋体" w:cs="宋体"/>
                <w:color w:val="000000"/>
                <w:kern w:val="0"/>
                <w:sz w:val="18"/>
                <w:szCs w:val="18"/>
              </w:rPr>
              <w:t>，每提供1家三甲医疗机构得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分，最多</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分</w:t>
            </w:r>
            <w:r>
              <w:rPr>
                <w:rFonts w:hint="eastAsia" w:ascii="宋体" w:hAnsi="宋体" w:cs="宋体"/>
                <w:color w:val="000000"/>
                <w:kern w:val="0"/>
                <w:sz w:val="18"/>
                <w:szCs w:val="18"/>
                <w:lang w:eastAsia="zh-CN"/>
              </w:rPr>
              <w:t>。</w:t>
            </w:r>
          </w:p>
        </w:tc>
        <w:tc>
          <w:tcPr>
            <w:tcW w:w="1735" w:type="pct"/>
            <w:noWrap w:val="0"/>
            <w:vAlign w:val="center"/>
          </w:tcPr>
          <w:p>
            <w:pPr>
              <w:widowControl/>
              <w:wordWrap w:val="0"/>
              <w:spacing w:line="270" w:lineRule="atLeast"/>
              <w:jc w:val="left"/>
              <w:rPr>
                <w:rFonts w:hint="eastAsia" w:ascii="宋体" w:hAnsi="宋体" w:cs="宋体"/>
                <w:kern w:val="0"/>
                <w:sz w:val="18"/>
                <w:szCs w:val="18"/>
              </w:rPr>
            </w:pPr>
            <w:r>
              <w:rPr>
                <w:rFonts w:hint="eastAsia" w:ascii="宋体" w:hAnsi="宋体" w:cs="宋体"/>
                <w:kern w:val="0"/>
                <w:sz w:val="18"/>
                <w:szCs w:val="18"/>
                <w:lang w:val="en-US" w:eastAsia="zh-CN"/>
              </w:rPr>
              <w:t>需提供以下证明资料如</w:t>
            </w:r>
            <w:r>
              <w:rPr>
                <w:rFonts w:hint="eastAsia" w:ascii="宋体" w:hAnsi="宋体" w:cs="宋体"/>
                <w:kern w:val="0"/>
                <w:sz w:val="18"/>
                <w:szCs w:val="18"/>
              </w:rPr>
              <w:t>下：</w:t>
            </w:r>
          </w:p>
          <w:p>
            <w:pPr>
              <w:widowControl/>
              <w:wordWrap w:val="0"/>
              <w:spacing w:line="270" w:lineRule="atLeast"/>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1.合同复印件</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说明：合同无产品明细需提供发票复印件</w:t>
            </w:r>
            <w:r>
              <w:rPr>
                <w:rFonts w:hint="eastAsia" w:ascii="宋体" w:hAnsi="宋体" w:cs="宋体"/>
                <w:kern w:val="0"/>
                <w:sz w:val="18"/>
                <w:szCs w:val="18"/>
                <w:lang w:eastAsia="zh-CN"/>
              </w:rPr>
              <w:t>，</w:t>
            </w:r>
            <w:r>
              <w:rPr>
                <w:rFonts w:hint="eastAsia" w:ascii="宋体" w:hAnsi="宋体" w:cs="宋体"/>
                <w:kern w:val="0"/>
                <w:sz w:val="18"/>
                <w:szCs w:val="18"/>
              </w:rPr>
              <w:t>若发票复印件上</w:t>
            </w:r>
            <w:r>
              <w:rPr>
                <w:rFonts w:hint="eastAsia" w:ascii="宋体" w:hAnsi="宋体" w:cs="宋体"/>
                <w:kern w:val="0"/>
                <w:sz w:val="18"/>
                <w:szCs w:val="18"/>
                <w:lang w:val="en-US" w:eastAsia="zh-CN"/>
              </w:rPr>
              <w:t>也</w:t>
            </w:r>
            <w:r>
              <w:rPr>
                <w:rFonts w:hint="eastAsia" w:ascii="宋体" w:hAnsi="宋体" w:cs="宋体"/>
                <w:kern w:val="0"/>
                <w:sz w:val="18"/>
                <w:szCs w:val="18"/>
              </w:rPr>
              <w:t>无产品明细则需附销货清单）</w:t>
            </w:r>
            <w:r>
              <w:rPr>
                <w:rFonts w:hint="eastAsia" w:ascii="宋体" w:hAnsi="宋体" w:cs="宋体"/>
                <w:kern w:val="0"/>
                <w:sz w:val="18"/>
                <w:szCs w:val="18"/>
                <w:lang w:eastAsia="zh-CN"/>
              </w:rPr>
              <w:t>。</w:t>
            </w:r>
          </w:p>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宋体"/>
                <w:kern w:val="0"/>
                <w:sz w:val="18"/>
                <w:szCs w:val="18"/>
                <w:lang w:val="en-US" w:eastAsia="zh-CN"/>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6" w:hRule="atLeast"/>
          <w:jc w:val="right"/>
        </w:trPr>
        <w:tc>
          <w:tcPr>
            <w:tcW w:w="307" w:type="pct"/>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723" w:type="pct"/>
            <w:noWrap w:val="0"/>
            <w:vAlign w:val="center"/>
          </w:tcPr>
          <w:p>
            <w:pPr>
              <w:widowControl/>
              <w:wordWrap w:val="0"/>
              <w:spacing w:line="27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w:t>
            </w:r>
          </w:p>
        </w:tc>
        <w:tc>
          <w:tcPr>
            <w:tcW w:w="316" w:type="pct"/>
            <w:noWrap w:val="0"/>
            <w:vAlign w:val="center"/>
          </w:tcPr>
          <w:p>
            <w:pPr>
              <w:widowControl/>
              <w:spacing w:line="320" w:lineRule="atLeast"/>
              <w:ind w:left="-105" w:leftChars="0" w:right="-107" w:rightChars="0"/>
              <w:jc w:val="center"/>
              <w:rPr>
                <w:rFonts w:hint="eastAsia" w:ascii="宋体" w:hAnsi="宋体" w:eastAsia="宋体" w:cs="Segoe UI"/>
                <w:color w:val="333333"/>
                <w:kern w:val="0"/>
                <w:sz w:val="18"/>
                <w:szCs w:val="18"/>
                <w:lang w:val="en-US" w:eastAsia="zh-CN" w:bidi="ar-SA"/>
              </w:rPr>
            </w:pPr>
            <w:r>
              <w:rPr>
                <w:rFonts w:hint="eastAsia" w:ascii="宋体" w:hAnsi="宋体" w:cs="Segoe UI"/>
                <w:color w:val="333333"/>
                <w:kern w:val="0"/>
                <w:sz w:val="18"/>
                <w:szCs w:val="18"/>
                <w:lang w:val="en-US" w:eastAsia="zh-CN"/>
              </w:rPr>
              <w:t>9</w:t>
            </w:r>
          </w:p>
        </w:tc>
        <w:tc>
          <w:tcPr>
            <w:tcW w:w="1916" w:type="pct"/>
            <w:noWrap w:val="0"/>
            <w:vAlign w:val="center"/>
          </w:tcPr>
          <w:p>
            <w:pPr>
              <w:wordWrap w:val="0"/>
              <w:jc w:val="left"/>
              <w:rPr>
                <w:rFonts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w:t>
            </w:r>
            <w:r>
              <w:rPr>
                <w:rFonts w:hint="eastAsia" w:ascii="宋体" w:hAnsi="宋体" w:cs="宋体"/>
                <w:kern w:val="0"/>
                <w:sz w:val="18"/>
                <w:szCs w:val="18"/>
                <w:lang w:eastAsia="zh-CN" w:bidi="ar"/>
              </w:rPr>
              <w:t>。</w:t>
            </w:r>
            <w:r>
              <w:rPr>
                <w:rFonts w:hint="eastAsia" w:ascii="宋体" w:hAnsi="宋体" w:cs="宋体"/>
                <w:kern w:val="0"/>
                <w:sz w:val="18"/>
                <w:szCs w:val="18"/>
                <w:lang w:bidi="ar"/>
              </w:rPr>
              <w:t>每缺少一项或提供的方案与本项目无关的扣</w:t>
            </w:r>
            <w:r>
              <w:rPr>
                <w:rFonts w:hint="eastAsia" w:ascii="宋体" w:hAnsi="宋体" w:cs="宋体"/>
                <w:kern w:val="0"/>
                <w:sz w:val="18"/>
                <w:szCs w:val="18"/>
                <w:lang w:val="en-US" w:eastAsia="zh-CN" w:bidi="ar"/>
              </w:rPr>
              <w:t>1.5</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w:t>
            </w:r>
            <w:r>
              <w:rPr>
                <w:rFonts w:hint="eastAsia" w:ascii="宋体" w:hAnsi="宋体" w:cs="宋体"/>
                <w:kern w:val="0"/>
                <w:sz w:val="18"/>
                <w:szCs w:val="18"/>
                <w:lang w:bidi="ar"/>
              </w:rPr>
              <w:t>分，分值扣完为止。</w:t>
            </w:r>
          </w:p>
        </w:tc>
        <w:tc>
          <w:tcPr>
            <w:tcW w:w="1735" w:type="pct"/>
            <w:noWrap w:val="0"/>
            <w:vAlign w:val="center"/>
          </w:tcPr>
          <w:p>
            <w:pPr>
              <w:wordWrap w:val="0"/>
              <w:jc w:val="left"/>
              <w:rPr>
                <w:rFonts w:ascii="宋体" w:hAnsi="宋体" w:cs="Segoe UI"/>
                <w:color w:val="000000"/>
                <w:kern w:val="0"/>
                <w:sz w:val="18"/>
                <w:szCs w:val="18"/>
                <w:lang w:val="en-US" w:eastAsia="zh-CN" w:bidi="ar-SA"/>
              </w:rPr>
            </w:pPr>
          </w:p>
        </w:tc>
      </w:tr>
    </w:tbl>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15614"/>
      <w:bookmarkStart w:id="3" w:name="_Toc9234"/>
      <w:bookmarkStart w:id="4" w:name="_Toc21163"/>
      <w:bookmarkStart w:id="5" w:name="_Toc21676"/>
      <w:bookmarkStart w:id="6" w:name="_Toc34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5208"/>
      <w:bookmarkStart w:id="8" w:name="_Toc12490"/>
      <w:bookmarkStart w:id="9" w:name="_Toc60"/>
      <w:bookmarkStart w:id="10" w:name="_Toc10689"/>
      <w:bookmarkStart w:id="11" w:name="_Toc30275"/>
      <w:bookmarkStart w:id="12" w:name="_Toc30494"/>
      <w:bookmarkStart w:id="13" w:name="_Toc14802"/>
      <w:bookmarkStart w:id="14" w:name="_Toc11076"/>
      <w:bookmarkStart w:id="15" w:name="_Toc549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3081"/>
      <w:bookmarkStart w:id="17" w:name="_Toc13021"/>
      <w:bookmarkStart w:id="18" w:name="_Toc30724"/>
      <w:bookmarkStart w:id="19" w:name="_Toc10183"/>
      <w:bookmarkStart w:id="20" w:name="_Toc10948"/>
      <w:bookmarkStart w:id="21" w:name="_Toc32214"/>
      <w:bookmarkStart w:id="22" w:name="_Toc3912"/>
      <w:bookmarkStart w:id="23" w:name="_Toc7067"/>
      <w:bookmarkStart w:id="24" w:name="_Toc26481"/>
      <w:bookmarkStart w:id="25" w:name="_Toc28103"/>
      <w:bookmarkStart w:id="26" w:name="_Toc9131"/>
      <w:bookmarkStart w:id="27" w:name="_Toc3392"/>
      <w:bookmarkStart w:id="28" w:name="_Toc18513"/>
      <w:bookmarkStart w:id="29" w:name="_Toc3447"/>
      <w:bookmarkStart w:id="30" w:name="_Toc19115"/>
      <w:bookmarkStart w:id="31" w:name="_Toc30080"/>
      <w:bookmarkStart w:id="32" w:name="_Toc8717"/>
      <w:bookmarkStart w:id="33" w:name="_Toc18879"/>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15196"/>
      <w:bookmarkStart w:id="35" w:name="_Toc7249"/>
      <w:bookmarkStart w:id="36" w:name="_Toc30920"/>
      <w:bookmarkStart w:id="37" w:name="_Toc9042"/>
      <w:bookmarkStart w:id="38" w:name="_Toc18259"/>
      <w:bookmarkStart w:id="39" w:name="_Toc30649"/>
      <w:bookmarkStart w:id="40" w:name="_Toc10142"/>
      <w:bookmarkStart w:id="41" w:name="_Toc22795"/>
      <w:bookmarkStart w:id="42" w:name="_Toc23645"/>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6548"/>
      <w:bookmarkStart w:id="46" w:name="_Toc4775"/>
      <w:bookmarkStart w:id="47" w:name="_Toc30083"/>
      <w:bookmarkStart w:id="48" w:name="_Toc19600"/>
      <w:bookmarkStart w:id="49" w:name="_Toc21988"/>
      <w:bookmarkStart w:id="50" w:name="_Toc24117"/>
      <w:bookmarkStart w:id="51" w:name="_Toc3004"/>
      <w:bookmarkStart w:id="52" w:name="_Toc25516"/>
      <w:bookmarkStart w:id="53" w:name="_Toc3534"/>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1982"/>
      <w:bookmarkStart w:id="55" w:name="_Toc16666"/>
      <w:bookmarkStart w:id="56" w:name="_Toc3494"/>
      <w:bookmarkStart w:id="57" w:name="_Toc14887"/>
      <w:bookmarkStart w:id="58" w:name="_Toc23192"/>
      <w:bookmarkStart w:id="59" w:name="_Toc16764"/>
      <w:bookmarkStart w:id="60" w:name="_Toc22198"/>
      <w:bookmarkStart w:id="61" w:name="_Toc27376"/>
      <w:bookmarkStart w:id="62" w:name="_Toc691"/>
      <w:bookmarkStart w:id="63" w:name="_Toc12333"/>
      <w:bookmarkStart w:id="64" w:name="_Toc32166"/>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22606"/>
      <w:bookmarkStart w:id="66" w:name="_Toc9263"/>
      <w:bookmarkStart w:id="67" w:name="_Toc5412"/>
      <w:bookmarkStart w:id="68" w:name="_Toc10013"/>
      <w:bookmarkStart w:id="69" w:name="_Toc1371"/>
      <w:bookmarkStart w:id="70" w:name="_Toc25068"/>
      <w:bookmarkStart w:id="71" w:name="_Toc31581"/>
      <w:bookmarkStart w:id="72" w:name="_Toc11914"/>
      <w:bookmarkStart w:id="73" w:name="_Toc4577"/>
      <w:bookmarkStart w:id="74" w:name="_Toc14269"/>
      <w:bookmarkStart w:id="75" w:name="_Toc394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8935"/>
      <w:bookmarkStart w:id="77" w:name="_Toc29190"/>
      <w:bookmarkStart w:id="78" w:name="_Toc2316"/>
      <w:bookmarkStart w:id="79" w:name="_Toc11489"/>
      <w:bookmarkStart w:id="80" w:name="_Toc2937"/>
      <w:bookmarkStart w:id="81" w:name="_Toc31890"/>
      <w:bookmarkStart w:id="82" w:name="_Toc10600"/>
      <w:bookmarkStart w:id="83" w:name="_Toc17108"/>
      <w:bookmarkStart w:id="84" w:name="_Toc3908"/>
      <w:bookmarkStart w:id="85" w:name="_Toc13677"/>
      <w:bookmarkStart w:id="86" w:name="_Toc13267"/>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12088"/>
      <w:bookmarkStart w:id="88" w:name="_Toc21351"/>
      <w:bookmarkStart w:id="89" w:name="_Toc31638"/>
      <w:bookmarkStart w:id="90" w:name="_Toc15916"/>
      <w:bookmarkStart w:id="91" w:name="_Toc24122"/>
      <w:bookmarkStart w:id="92" w:name="_Toc1313"/>
      <w:bookmarkStart w:id="93" w:name="_Toc26756"/>
      <w:bookmarkStart w:id="94" w:name="_Toc32365"/>
      <w:bookmarkStart w:id="95" w:name="_Toc14252"/>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27948"/>
      <w:bookmarkStart w:id="98" w:name="_Toc22760"/>
      <w:bookmarkStart w:id="99" w:name="_Toc10583"/>
      <w:bookmarkStart w:id="100" w:name="_Toc15083"/>
      <w:bookmarkStart w:id="101" w:name="_Toc9398"/>
      <w:bookmarkStart w:id="102" w:name="_Toc23212"/>
      <w:bookmarkStart w:id="103" w:name="_Toc29215"/>
      <w:bookmarkStart w:id="104" w:name="_Toc19589"/>
      <w:bookmarkStart w:id="105" w:name="_Toc11278"/>
      <w:bookmarkStart w:id="106" w:name="_Toc27985"/>
      <w:bookmarkStart w:id="107" w:name="_Toc18046"/>
      <w:bookmarkStart w:id="108" w:name="_Toc15894"/>
      <w:bookmarkStart w:id="109" w:name="_Toc26609"/>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4107"/>
      <w:bookmarkStart w:id="111" w:name="_Toc24655"/>
      <w:bookmarkStart w:id="112" w:name="_Toc14546"/>
      <w:bookmarkStart w:id="113" w:name="_Toc4116"/>
      <w:bookmarkStart w:id="114" w:name="_Toc17204"/>
      <w:bookmarkStart w:id="115" w:name="_Toc8348"/>
      <w:bookmarkStart w:id="116" w:name="_Toc8940"/>
      <w:bookmarkStart w:id="117" w:name="_Toc27767"/>
      <w:bookmarkStart w:id="118" w:name="_Toc24671"/>
      <w:bookmarkStart w:id="119" w:name="_Toc29648"/>
      <w:bookmarkStart w:id="120" w:name="_Toc757"/>
      <w:bookmarkStart w:id="121" w:name="_Toc8083"/>
      <w:bookmarkStart w:id="122" w:name="_Toc17741"/>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4781"/>
      <w:bookmarkStart w:id="124" w:name="_Toc2003"/>
      <w:bookmarkStart w:id="125" w:name="_Toc10308"/>
      <w:bookmarkStart w:id="126" w:name="_Toc10950"/>
      <w:bookmarkStart w:id="127" w:name="_Toc15917"/>
      <w:bookmarkStart w:id="128" w:name="_Toc10945"/>
      <w:bookmarkStart w:id="129" w:name="_Toc8524"/>
      <w:bookmarkStart w:id="130" w:name="_Toc5840"/>
      <w:bookmarkStart w:id="131" w:name="_Toc22243"/>
      <w:bookmarkStart w:id="132" w:name="_Toc24280"/>
      <w:bookmarkStart w:id="133" w:name="_Toc20745"/>
      <w:bookmarkStart w:id="134" w:name="_Toc12682"/>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1663"/>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4168" w:type="dxa"/>
            <w:gridSpan w:val="11"/>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p>
      <w:pPr>
        <w:pStyle w:val="2"/>
        <w:spacing w:after="0" w:line="120" w:lineRule="auto"/>
        <w:ind w:firstLine="480" w:firstLineChars="200"/>
        <w:rPr>
          <w:rFonts w:hint="eastAsia" w:ascii="仿宋_GB2312" w:hAnsi="Segoe UI" w:eastAsia="仿宋_GB2312" w:cs="Segoe UI"/>
          <w:color w:val="000000" w:themeColor="text1"/>
          <w:kern w:val="0"/>
          <w:sz w:val="24"/>
          <w:szCs w:val="24"/>
        </w:rPr>
      </w:pPr>
    </w:p>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A31D24"/>
    <w:multiLevelType w:val="singleLevel"/>
    <w:tmpl w:val="C2A31D24"/>
    <w:lvl w:ilvl="0" w:tentative="0">
      <w:start w:val="1"/>
      <w:numFmt w:val="decimal"/>
      <w:suff w:val="space"/>
      <w:lvlText w:val="%1."/>
      <w:lvlJc w:val="left"/>
    </w:lvl>
  </w:abstractNum>
  <w:abstractNum w:abstractNumId="1">
    <w:nsid w:val="0723BC51"/>
    <w:multiLevelType w:val="singleLevel"/>
    <w:tmpl w:val="0723BC51"/>
    <w:lvl w:ilvl="0" w:tentative="0">
      <w:start w:val="1"/>
      <w:numFmt w:val="decimal"/>
      <w:lvlText w:val="%1."/>
      <w:lvlJc w:val="left"/>
      <w:pPr>
        <w:tabs>
          <w:tab w:val="left" w:pos="312"/>
        </w:tabs>
      </w:pPr>
    </w:lvl>
  </w:abstractNum>
  <w:abstractNum w:abstractNumId="2">
    <w:nsid w:val="0ECF326B"/>
    <w:multiLevelType w:val="singleLevel"/>
    <w:tmpl w:val="0ECF326B"/>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53A5330"/>
    <w:rsid w:val="07953CAB"/>
    <w:rsid w:val="07B925A7"/>
    <w:rsid w:val="0BF815CE"/>
    <w:rsid w:val="0DBB7E7D"/>
    <w:rsid w:val="0E911C5D"/>
    <w:rsid w:val="10954EC2"/>
    <w:rsid w:val="12A81059"/>
    <w:rsid w:val="13485B4A"/>
    <w:rsid w:val="14456F80"/>
    <w:rsid w:val="195D2073"/>
    <w:rsid w:val="1A37043E"/>
    <w:rsid w:val="228C2840"/>
    <w:rsid w:val="2306229A"/>
    <w:rsid w:val="26D9225C"/>
    <w:rsid w:val="272816FC"/>
    <w:rsid w:val="28203DA9"/>
    <w:rsid w:val="2E811DD5"/>
    <w:rsid w:val="357C4381"/>
    <w:rsid w:val="364F4E7F"/>
    <w:rsid w:val="365344A5"/>
    <w:rsid w:val="38BB478A"/>
    <w:rsid w:val="396510AC"/>
    <w:rsid w:val="3BA27AC6"/>
    <w:rsid w:val="3ED3727D"/>
    <w:rsid w:val="3F882DCD"/>
    <w:rsid w:val="405F3E1B"/>
    <w:rsid w:val="41EE0E8D"/>
    <w:rsid w:val="4669398D"/>
    <w:rsid w:val="48983A5D"/>
    <w:rsid w:val="4AE36A9A"/>
    <w:rsid w:val="4B7A520A"/>
    <w:rsid w:val="4C5E41EC"/>
    <w:rsid w:val="4EE10A0C"/>
    <w:rsid w:val="51CB3FD0"/>
    <w:rsid w:val="53914C7E"/>
    <w:rsid w:val="5536063D"/>
    <w:rsid w:val="55F211D3"/>
    <w:rsid w:val="56183BA8"/>
    <w:rsid w:val="577B25E6"/>
    <w:rsid w:val="5C452678"/>
    <w:rsid w:val="5D2D064D"/>
    <w:rsid w:val="5FEC0FA4"/>
    <w:rsid w:val="60795DD8"/>
    <w:rsid w:val="61DB5EE7"/>
    <w:rsid w:val="62FA0171"/>
    <w:rsid w:val="637366D0"/>
    <w:rsid w:val="63E72E68"/>
    <w:rsid w:val="64ED5044"/>
    <w:rsid w:val="65C660EF"/>
    <w:rsid w:val="65DA011F"/>
    <w:rsid w:val="66D20681"/>
    <w:rsid w:val="672843F4"/>
    <w:rsid w:val="6A052BEC"/>
    <w:rsid w:val="6A1B1B87"/>
    <w:rsid w:val="6A38583D"/>
    <w:rsid w:val="6C0F1984"/>
    <w:rsid w:val="6CF82393"/>
    <w:rsid w:val="701306BF"/>
    <w:rsid w:val="710D63F2"/>
    <w:rsid w:val="716610EA"/>
    <w:rsid w:val="71D57369"/>
    <w:rsid w:val="75233D75"/>
    <w:rsid w:val="77490A08"/>
    <w:rsid w:val="78BA1DAC"/>
    <w:rsid w:val="799A6260"/>
    <w:rsid w:val="7C560E66"/>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1</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2024-06-14T04:08:49Z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