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采购项目编号：SCFY-YXZB202406-001（比）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4.94</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9"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30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23"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11"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14"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873"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tcBorders/>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523"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lang w:val="en-US" w:eastAsia="zh-CN"/>
              </w:rPr>
              <w:t>核酸提取纯化试剂 （血液基因组DNA提取试剂盒）</w:t>
            </w:r>
          </w:p>
        </w:tc>
        <w:tc>
          <w:tcPr>
            <w:tcW w:w="51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lang w:val="en-US" w:eastAsia="zh-CN"/>
              </w:rPr>
              <w:t>9.9元</w:t>
            </w:r>
          </w:p>
        </w:tc>
        <w:tc>
          <w:tcPr>
            <w:tcW w:w="41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lang w:val="en-US" w:eastAsia="zh-CN"/>
              </w:rPr>
              <w:t>288人份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sz w:val="21"/>
                <w:szCs w:val="21"/>
                <w:lang w:val="en-US" w:eastAsia="zh-CN"/>
              </w:rPr>
              <w:t>3.方法学:磁珠法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6.样本类型:全血、白细胞等液体样本。</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7.可一次性处理上样量：200μL-400μL。</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8. </w:t>
            </w:r>
            <w:r>
              <w:rPr>
                <w:rFonts w:hint="eastAsia" w:ascii="宋体" w:hAnsi="宋体" w:cs="宋体"/>
                <w:color w:val="000000"/>
                <w:lang w:val="en-US" w:eastAsia="zh-CN"/>
              </w:rPr>
              <w:t>同款试剂条洗脱液体积可以满足60ul、100ul、150ul、200ul的要求。</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9.无需冷链物流，可常温运输及保存。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10.效期≥12个月。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11.双加热孔大小不一，分别用于样本加热和核酸洗脱。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12. </w:t>
            </w:r>
            <w:r>
              <w:rPr>
                <w:rFonts w:hint="eastAsia" w:ascii="宋体" w:hAnsi="宋体" w:cs="宋体"/>
                <w:color w:val="000000"/>
                <w:lang w:val="en-US" w:eastAsia="zh-CN"/>
              </w:rPr>
              <w:t>试剂条手柄部分有试剂品相编号，对应设备内预置程序。</w:t>
            </w:r>
          </w:p>
          <w:p>
            <w:pPr>
              <w:pStyle w:val="2"/>
              <w:rPr>
                <w:rFonts w:hint="default"/>
                <w:lang w:val="en-US" w:eastAsia="zh-CN"/>
              </w:rPr>
            </w:pPr>
            <w:r>
              <w:rPr>
                <w:rFonts w:hint="eastAsia" w:ascii="宋体" w:hAnsi="宋体" w:cs="宋体"/>
                <w:color w:val="000000"/>
                <w:lang w:val="en-US" w:eastAsia="zh-CN"/>
              </w:rPr>
              <w:t>13.使用模式：全自动提取。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tcBorders/>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523"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核酸提取纯化试剂 （培养细胞DNA提取高灵敏度型）</w:t>
            </w:r>
          </w:p>
        </w:tc>
        <w:tc>
          <w:tcPr>
            <w:tcW w:w="511"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25元</w:t>
            </w:r>
          </w:p>
        </w:tc>
        <w:tc>
          <w:tcPr>
            <w:tcW w:w="414"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1440人份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3.</w:t>
            </w:r>
            <w:r>
              <w:rPr>
                <w:rFonts w:hint="eastAsia" w:ascii="宋体" w:hAnsi="宋体" w:cs="宋体"/>
                <w:sz w:val="21"/>
                <w:szCs w:val="21"/>
                <w:lang w:val="en-US" w:eastAsia="zh-CN"/>
              </w:rPr>
              <w:t>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w:t>
            </w:r>
            <w:r>
              <w:rPr>
                <w:rFonts w:hint="eastAsia" w:ascii="宋体" w:hAnsi="宋体" w:cs="宋体"/>
                <w:sz w:val="21"/>
                <w:szCs w:val="21"/>
                <w:lang w:val="en-US" w:eastAsia="zh-CN"/>
              </w:rPr>
              <w:t>培养细胞、羊水、甲状腺</w:t>
            </w:r>
            <w:r>
              <w:rPr>
                <w:rFonts w:hint="eastAsia" w:ascii="宋体" w:hAnsi="宋体" w:cs="宋体"/>
                <w:sz w:val="21"/>
                <w:szCs w:val="21"/>
                <w:highlight w:val="none"/>
                <w:lang w:val="en-US" w:eastAsia="zh-CN"/>
              </w:rPr>
              <w:t>穿刺液基等样本</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7.</w:t>
            </w:r>
            <w:r>
              <w:rPr>
                <w:rFonts w:hint="eastAsia" w:ascii="宋体" w:hAnsi="宋体" w:cs="宋体"/>
                <w:sz w:val="21"/>
                <w:szCs w:val="21"/>
                <w:lang w:val="en-US" w:eastAsia="zh-CN"/>
              </w:rPr>
              <w:t>同款试剂条洗脱液体积可以满足60ul、100ul、150ul、200ul的要求</w:t>
            </w:r>
            <w:r>
              <w:rPr>
                <w:rFonts w:hint="eastAsia" w:ascii="宋体" w:hAnsi="宋体" w:cs="宋体"/>
                <w:color w:val="000000"/>
                <w:lang w:val="en-US" w:eastAsia="zh-CN"/>
              </w:rPr>
              <w:t>。</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8.无需冷链物流，可常温运输及保存。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9.效期≥12个月。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10.双加热孔大小不一，分别用于样本加热和核酸洗脱。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11. </w:t>
            </w:r>
            <w:r>
              <w:rPr>
                <w:rFonts w:hint="eastAsia" w:ascii="宋体" w:hAnsi="宋体" w:cs="宋体"/>
                <w:color w:val="000000"/>
                <w:lang w:val="en-US" w:eastAsia="zh-CN"/>
              </w:rPr>
              <w:t>试剂条手柄部分有试剂品相编号，对应设备内预置程序。</w:t>
            </w:r>
          </w:p>
          <w:p>
            <w:pPr>
              <w:pStyle w:val="18"/>
              <w:numPr>
                <w:ilvl w:val="0"/>
                <w:numId w:val="0"/>
              </w:numPr>
              <w:ind w:left="0" w:leftChars="0" w:firstLine="0" w:firstLineChars="0"/>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12.使用模式：全自动提取。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tcBorders/>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3</w:t>
            </w:r>
          </w:p>
        </w:tc>
        <w:tc>
          <w:tcPr>
            <w:tcW w:w="523"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核酸提取纯化试剂（总RNA型）</w:t>
            </w:r>
          </w:p>
        </w:tc>
        <w:tc>
          <w:tcPr>
            <w:tcW w:w="511"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35元</w:t>
            </w:r>
          </w:p>
        </w:tc>
        <w:tc>
          <w:tcPr>
            <w:tcW w:w="414"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192人份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sz w:val="21"/>
                <w:szCs w:val="21"/>
                <w:lang w:val="en-US" w:eastAsia="zh-CN"/>
              </w:rPr>
              <w:t>3.方法学:磁珠法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w:t>
            </w:r>
            <w:r>
              <w:rPr>
                <w:rFonts w:hint="eastAsia" w:ascii="宋体" w:hAnsi="宋体" w:cs="宋体"/>
                <w:sz w:val="21"/>
                <w:szCs w:val="21"/>
                <w:lang w:val="en-US" w:eastAsia="zh-CN"/>
              </w:rPr>
              <w:t>全血样本</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7.</w:t>
            </w:r>
            <w:r>
              <w:rPr>
                <w:rFonts w:hint="eastAsia" w:ascii="宋体" w:hAnsi="宋体" w:cs="宋体"/>
                <w:sz w:val="21"/>
                <w:szCs w:val="21"/>
                <w:lang w:val="en-US" w:eastAsia="zh-CN"/>
              </w:rPr>
              <w:t>可一次性处理上样量：400μL-800μL</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8. </w:t>
            </w:r>
            <w:r>
              <w:rPr>
                <w:rFonts w:hint="eastAsia" w:ascii="宋体" w:hAnsi="宋体" w:cs="宋体"/>
                <w:color w:val="000000"/>
                <w:lang w:val="en-US" w:eastAsia="zh-CN"/>
              </w:rPr>
              <w:t>同款试剂条洗脱液体积可以满足60ul、100ul、150ul、200ul的要求。</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9.无需冷链物流，可常温运输及保存。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10.效期≥12个月。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11.双加热孔大小不一，分别用于样本加热和核酸洗脱。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12. </w:t>
            </w:r>
            <w:r>
              <w:rPr>
                <w:rFonts w:hint="eastAsia" w:ascii="宋体" w:hAnsi="宋体" w:cs="宋体"/>
                <w:color w:val="000000"/>
                <w:lang w:val="en-US" w:eastAsia="zh-CN"/>
              </w:rPr>
              <w:t>试剂条手柄部分有试剂品相编号，对应设备内预置程序。</w:t>
            </w:r>
          </w:p>
          <w:p>
            <w:pPr>
              <w:pStyle w:val="18"/>
              <w:numPr>
                <w:ilvl w:val="0"/>
                <w:numId w:val="0"/>
              </w:numPr>
              <w:ind w:left="0" w:leftChars="0" w:firstLine="0" w:firstLineChars="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lang w:val="en-US" w:eastAsia="zh-CN"/>
              </w:rPr>
              <w:t>13.使用模式：全自动提取。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tcBorders/>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4</w:t>
            </w:r>
          </w:p>
        </w:tc>
        <w:tc>
          <w:tcPr>
            <w:tcW w:w="523"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核酸提取纯化试剂 （培养细胞DNA提取试剂盒）</w:t>
            </w:r>
          </w:p>
        </w:tc>
        <w:tc>
          <w:tcPr>
            <w:tcW w:w="511"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20元</w:t>
            </w:r>
          </w:p>
        </w:tc>
        <w:tc>
          <w:tcPr>
            <w:tcW w:w="414"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192人份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sz w:val="21"/>
                <w:szCs w:val="21"/>
                <w:lang w:val="en-US" w:eastAsia="zh-CN"/>
              </w:rPr>
              <w:t>3.方法学:磁珠法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w:t>
            </w:r>
            <w:r>
              <w:rPr>
                <w:rFonts w:hint="eastAsia" w:ascii="宋体" w:hAnsi="宋体" w:cs="宋体"/>
                <w:sz w:val="21"/>
                <w:szCs w:val="21"/>
                <w:lang w:val="en-US" w:eastAsia="zh-CN"/>
              </w:rPr>
              <w:t>培养细胞、羊水、甲状腺穿刺液基等样本</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7. </w:t>
            </w:r>
            <w:r>
              <w:rPr>
                <w:rFonts w:hint="eastAsia" w:ascii="宋体" w:hAnsi="宋体" w:cs="宋体"/>
                <w:color w:val="000000"/>
                <w:lang w:val="en-US" w:eastAsia="zh-CN"/>
              </w:rPr>
              <w:t>同款试剂条洗脱液体积可以满足60ul、100ul、150ul、200ul的要求。</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8.无需冷链物流，可常温运输及保存。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9.效期≥12个月。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10.双加热孔大小不一，分别用于样本加热和核酸洗脱。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11. </w:t>
            </w:r>
            <w:r>
              <w:rPr>
                <w:rFonts w:hint="eastAsia" w:ascii="宋体" w:hAnsi="宋体" w:cs="宋体"/>
                <w:color w:val="000000"/>
                <w:lang w:val="en-US" w:eastAsia="zh-CN"/>
              </w:rPr>
              <w:t>试剂条手柄部分有试剂品相编号，对应设备内预置程序。</w:t>
            </w:r>
          </w:p>
          <w:p>
            <w:pPr>
              <w:pStyle w:val="18"/>
              <w:numPr>
                <w:ilvl w:val="0"/>
                <w:numId w:val="0"/>
              </w:numPr>
              <w:ind w:left="0" w:leftChars="0" w:firstLine="0" w:firstLineChars="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lang w:val="en-US" w:eastAsia="zh-CN"/>
              </w:rPr>
              <w:t>12.使用模式：全自动提取。</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64"/>
        <w:gridCol w:w="1092"/>
        <w:gridCol w:w="986"/>
        <w:gridCol w:w="418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72" w:type="pct"/>
            <w:vMerge w:val="restart"/>
            <w:vAlign w:val="center"/>
          </w:tcPr>
          <w:p>
            <w:pPr>
              <w:spacing w:line="420" w:lineRule="exact"/>
              <w:jc w:val="center"/>
              <w:rPr>
                <w:rFonts w:cs="宋体"/>
                <w:color w:val="000000"/>
                <w:kern w:val="0"/>
              </w:rPr>
            </w:pPr>
            <w:r>
              <w:rPr>
                <w:rFonts w:hint="eastAsia" w:cs="宋体"/>
                <w:color w:val="000000"/>
                <w:kern w:val="0"/>
              </w:rPr>
              <w:t>评分</w:t>
            </w:r>
          </w:p>
          <w:p>
            <w:pPr>
              <w:spacing w:line="420" w:lineRule="exact"/>
              <w:jc w:val="center"/>
              <w:rPr>
                <w:rFonts w:cs="宋体"/>
                <w:color w:val="000000"/>
                <w:kern w:val="0"/>
              </w:rPr>
            </w:pPr>
            <w:r>
              <w:rPr>
                <w:rFonts w:hint="eastAsia" w:cs="宋体"/>
                <w:color w:val="000000"/>
                <w:kern w:val="0"/>
              </w:rPr>
              <w:t>细则</w:t>
            </w:r>
          </w:p>
        </w:tc>
        <w:tc>
          <w:tcPr>
            <w:tcW w:w="233"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48" w:type="pct"/>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495"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103"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245"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4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495"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2103"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1245" w:type="pct"/>
            <w:vAlign w:val="center"/>
          </w:tcPr>
          <w:p>
            <w:pPr>
              <w:widowControl/>
              <w:numPr>
                <w:ilvl w:val="0"/>
                <w:numId w:val="1"/>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1"/>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54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50.5</w:t>
            </w:r>
            <w:r>
              <w:rPr>
                <w:rFonts w:hint="eastAsia" w:ascii="宋体" w:hAnsi="宋体" w:cs="Segoe UI"/>
                <w:color w:val="000000"/>
                <w:kern w:val="0"/>
                <w:sz w:val="18"/>
                <w:szCs w:val="18"/>
              </w:rPr>
              <w:t>%</w:t>
            </w:r>
          </w:p>
        </w:tc>
        <w:tc>
          <w:tcPr>
            <w:tcW w:w="495"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50.5</w:t>
            </w:r>
          </w:p>
        </w:tc>
        <w:tc>
          <w:tcPr>
            <w:tcW w:w="2103"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kern w:val="0"/>
                <w:sz w:val="18"/>
                <w:szCs w:val="18"/>
                <w:lang w:val="en-US" w:eastAsia="zh-CN"/>
              </w:rPr>
              <w:t>50.5</w:t>
            </w:r>
            <w:r>
              <w:rPr>
                <w:rFonts w:hint="eastAsia" w:ascii="宋体" w:hAnsi="宋体" w:cs="宋体"/>
                <w:kern w:val="0"/>
                <w:sz w:val="18"/>
                <w:szCs w:val="18"/>
              </w:rPr>
              <w:t>分；“*”条款技术参数不满足招标文件要求（负偏离），一次扣</w:t>
            </w:r>
            <w:r>
              <w:rPr>
                <w:rFonts w:hint="eastAsia" w:ascii="宋体" w:hAnsi="宋体" w:cs="宋体"/>
                <w:kern w:val="0"/>
                <w:sz w:val="18"/>
                <w:szCs w:val="18"/>
                <w:lang w:val="en-US" w:eastAsia="zh-CN"/>
              </w:rPr>
              <w:t>1.5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非“*”条款技术参数不满足招标文件要求（负偏离），一次扣</w:t>
            </w:r>
            <w:r>
              <w:rPr>
                <w:rFonts w:hint="eastAsia" w:ascii="宋体" w:hAnsi="宋体" w:cs="宋体"/>
                <w:kern w:val="0"/>
                <w:sz w:val="18"/>
                <w:szCs w:val="18"/>
                <w:lang w:val="en-US" w:eastAsia="zh-CN"/>
              </w:rPr>
              <w:t>1</w:t>
            </w:r>
            <w:r>
              <w:rPr>
                <w:rFonts w:hint="eastAsia" w:ascii="宋体" w:hAnsi="宋体" w:cs="宋体"/>
                <w:kern w:val="0"/>
                <w:sz w:val="18"/>
                <w:szCs w:val="18"/>
              </w:rPr>
              <w:t>分，扣完为止。</w:t>
            </w:r>
          </w:p>
        </w:tc>
        <w:tc>
          <w:tcPr>
            <w:tcW w:w="1245" w:type="pct"/>
            <w:vAlign w:val="center"/>
          </w:tcPr>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hint="eastAsia" w:ascii="宋体" w:hAnsi="宋体" w:eastAsia="宋体" w:cs="Segoe UI"/>
                <w:color w:val="333333"/>
                <w:kern w:val="0"/>
                <w:sz w:val="18"/>
                <w:szCs w:val="18"/>
                <w:lang w:eastAsia="zh-CN"/>
              </w:rPr>
            </w:pPr>
            <w:r>
              <w:rPr>
                <w:rFonts w:hint="eastAsia" w:ascii="宋体" w:hAnsi="宋体" w:cs="Segoe UI"/>
                <w:color w:val="000000"/>
                <w:kern w:val="0"/>
                <w:sz w:val="18"/>
                <w:szCs w:val="18"/>
                <w:lang w:val="en-US" w:eastAsia="zh-CN"/>
              </w:rPr>
              <w:t>3</w:t>
            </w:r>
          </w:p>
        </w:tc>
        <w:tc>
          <w:tcPr>
            <w:tcW w:w="54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0.5</w:t>
            </w:r>
            <w:r>
              <w:rPr>
                <w:rFonts w:hint="eastAsia" w:ascii="宋体" w:hAnsi="宋体" w:cs="Segoe UI"/>
                <w:color w:val="000000"/>
                <w:kern w:val="0"/>
                <w:sz w:val="18"/>
                <w:szCs w:val="18"/>
              </w:rPr>
              <w:t>%</w:t>
            </w:r>
          </w:p>
        </w:tc>
        <w:tc>
          <w:tcPr>
            <w:tcW w:w="495"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333333"/>
                <w:kern w:val="0"/>
                <w:sz w:val="18"/>
                <w:szCs w:val="18"/>
              </w:rPr>
              <w:t>1</w:t>
            </w:r>
            <w:r>
              <w:rPr>
                <w:rFonts w:hint="eastAsia" w:ascii="宋体" w:hAnsi="宋体" w:cs="Segoe UI"/>
                <w:color w:val="333333"/>
                <w:kern w:val="0"/>
                <w:sz w:val="18"/>
                <w:szCs w:val="18"/>
                <w:lang w:val="en-US" w:eastAsia="zh-CN"/>
              </w:rPr>
              <w:t>0.5</w:t>
            </w:r>
          </w:p>
        </w:tc>
        <w:tc>
          <w:tcPr>
            <w:tcW w:w="2103" w:type="pct"/>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分。</w:t>
            </w:r>
          </w:p>
        </w:tc>
        <w:tc>
          <w:tcPr>
            <w:tcW w:w="1245"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000000"/>
                <w:kern w:val="0"/>
                <w:sz w:val="18"/>
                <w:szCs w:val="18"/>
                <w:lang w:val="en-US" w:eastAsia="zh-CN"/>
              </w:rPr>
              <w:t>4</w:t>
            </w:r>
          </w:p>
        </w:tc>
        <w:tc>
          <w:tcPr>
            <w:tcW w:w="54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9%</w:t>
            </w:r>
          </w:p>
        </w:tc>
        <w:tc>
          <w:tcPr>
            <w:tcW w:w="495" w:type="pct"/>
            <w:vAlign w:val="center"/>
          </w:tcPr>
          <w:p>
            <w:pPr>
              <w:widowControl/>
              <w:spacing w:line="320" w:lineRule="atLeast"/>
              <w:ind w:left="-105" w:right="-107"/>
              <w:jc w:val="center"/>
              <w:rPr>
                <w:rFonts w:ascii="宋体" w:hAnsi="宋体" w:cs="Segoe UI"/>
                <w:color w:val="333333"/>
                <w:kern w:val="0"/>
                <w:sz w:val="18"/>
                <w:szCs w:val="18"/>
              </w:rPr>
            </w:pPr>
            <w:r>
              <w:rPr>
                <w:rFonts w:hint="eastAsia" w:ascii="宋体" w:hAnsi="宋体" w:cs="Segoe UI"/>
                <w:color w:val="333333"/>
                <w:kern w:val="0"/>
                <w:sz w:val="18"/>
                <w:szCs w:val="18"/>
              </w:rPr>
              <w:t>9</w:t>
            </w:r>
          </w:p>
        </w:tc>
        <w:tc>
          <w:tcPr>
            <w:tcW w:w="2103" w:type="pct"/>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w:t>
            </w:r>
            <w:bookmarkStart w:id="135" w:name="_GoBack"/>
            <w:bookmarkEnd w:id="135"/>
            <w:r>
              <w:rPr>
                <w:rFonts w:hint="eastAsia" w:ascii="宋体" w:hAnsi="宋体" w:cs="宋体"/>
                <w:kern w:val="0"/>
                <w:sz w:val="18"/>
                <w:szCs w:val="18"/>
                <w:lang w:bidi="ar"/>
              </w:rPr>
              <w:t>面提供完整且描述详细，符合本项目实际情况、有利于项目实施的得9分。每缺少一项或提供的方案与本项目无关的扣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分；每有一项存在缺陷或漏洞的，且不利于项目实施的扣1</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分，分值扣完为止。</w:t>
            </w:r>
          </w:p>
        </w:tc>
        <w:tc>
          <w:tcPr>
            <w:tcW w:w="1245" w:type="pct"/>
            <w:vAlign w:val="center"/>
          </w:tcPr>
          <w:p>
            <w:pPr>
              <w:wordWrap w:val="0"/>
              <w:jc w:val="left"/>
              <w:rPr>
                <w:rFonts w:ascii="宋体" w:hAnsi="宋体" w:cs="Segoe U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72" w:type="pct"/>
            <w:vAlign w:val="center"/>
          </w:tcPr>
          <w:p>
            <w:pPr>
              <w:spacing w:line="420" w:lineRule="exact"/>
              <w:jc w:val="center"/>
              <w:rPr>
                <w:rFonts w:cs="宋体"/>
                <w:color w:val="000000"/>
                <w:kern w:val="0"/>
              </w:rPr>
            </w:pPr>
            <w:r>
              <w:rPr>
                <w:rFonts w:hint="eastAsia" w:cs="宋体"/>
                <w:color w:val="000000"/>
                <w:kern w:val="0"/>
              </w:rPr>
              <w:t>商务</w:t>
            </w:r>
          </w:p>
          <w:p>
            <w:pPr>
              <w:spacing w:line="420" w:lineRule="exact"/>
              <w:jc w:val="center"/>
              <w:rPr>
                <w:rFonts w:cs="宋体"/>
                <w:color w:val="000000"/>
                <w:kern w:val="0"/>
              </w:rPr>
            </w:pPr>
            <w:r>
              <w:rPr>
                <w:rFonts w:hint="eastAsia" w:cs="宋体"/>
                <w:color w:val="000000"/>
                <w:kern w:val="0"/>
              </w:rPr>
              <w:t>要求</w:t>
            </w:r>
          </w:p>
        </w:tc>
        <w:tc>
          <w:tcPr>
            <w:tcW w:w="4627" w:type="pct"/>
            <w:gridSpan w:val="5"/>
            <w:shd w:val="clear" w:color="auto" w:fill="auto"/>
            <w:vAlign w:val="center"/>
          </w:tcPr>
          <w:p>
            <w:pPr>
              <w:pStyle w:val="2"/>
            </w:pPr>
            <w:r>
              <w:rPr>
                <w:rFonts w:hint="eastAsia"/>
              </w:rPr>
              <w:t>▲1.供应商投标产品若为Ⅱ、Ⅲ类医疗器械和具有医疗器械注册证或备案凭证的体外诊断试剂，则必须为四川省药械集中采购及医药价格监管平台挂网公示产品,并提供挂网商品代码（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p>
          <w:p>
            <w:pPr>
              <w:pStyle w:val="2"/>
            </w:pPr>
            <w:r>
              <w:rPr>
                <w:rFonts w:hint="eastAsia"/>
              </w:rPr>
              <w:t>▲2.供货期限：3年，采购数量以实际使用量为准。</w:t>
            </w:r>
          </w:p>
          <w:p>
            <w:pPr>
              <w:pStyle w:val="2"/>
              <w:rPr>
                <w:rFonts w:ascii="宋体" w:hAnsi="宋体" w:cs="Segoe UI"/>
                <w:color w:val="333333"/>
                <w:spacing w:val="8"/>
                <w:kern w:val="0"/>
                <w:sz w:val="18"/>
                <w:szCs w:val="18"/>
              </w:rPr>
            </w:pPr>
            <w:r>
              <w:rPr>
                <w:rFonts w:hint="eastAsia"/>
              </w:rPr>
              <w:t>▲3.合同结算：本项目的“预估年度用量”、 供应商的“投标总价”仅做为报价评审依据，最终根据实际需求进行相应调整，结算以实际发生量乘以供应商挂网单价（未挂网按投标单价）结算。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72" w:type="pct"/>
            <w:vAlign w:val="center"/>
          </w:tcPr>
          <w:p>
            <w:pPr>
              <w:spacing w:line="420" w:lineRule="exact"/>
              <w:jc w:val="center"/>
              <w:rPr>
                <w:rFonts w:hint="eastAsia" w:cs="宋体"/>
                <w:color w:val="000000"/>
                <w:kern w:val="0"/>
              </w:rPr>
            </w:pPr>
            <w:r>
              <w:rPr>
                <w:rFonts w:hint="eastAsia"/>
              </w:rPr>
              <w:t>备注</w:t>
            </w:r>
          </w:p>
        </w:tc>
        <w:tc>
          <w:tcPr>
            <w:tcW w:w="4627" w:type="pct"/>
            <w:gridSpan w:val="5"/>
            <w:shd w:val="clear" w:color="auto" w:fill="auto"/>
            <w:vAlign w:val="center"/>
          </w:tcPr>
          <w:p>
            <w:pPr>
              <w:numPr>
                <w:ilvl w:val="0"/>
                <w:numId w:val="2"/>
              </w:numPr>
              <w:spacing w:line="420" w:lineRule="exact"/>
              <w:jc w:val="left"/>
              <w:rPr>
                <w:rFonts w:hint="eastAsia" w:ascii="Times New Roman" w:hAnsi="Times New Roman" w:eastAsia="宋体" w:cs="Times New Roman"/>
              </w:rPr>
            </w:pPr>
            <w:r>
              <w:rPr>
                <w:rFonts w:hint="eastAsia" w:ascii="Times New Roman" w:hAnsi="Times New Roman" w:eastAsia="宋体" w:cs="Times New Roman"/>
              </w:rPr>
              <w:t>标注“▲”号的条款为本项目的实质性要求，供应商应全部满足，否则其响应文件作无效响应处理。</w:t>
            </w:r>
          </w:p>
          <w:p>
            <w:pPr>
              <w:numPr>
                <w:ilvl w:val="0"/>
                <w:numId w:val="2"/>
              </w:numPr>
              <w:spacing w:line="420" w:lineRule="exact"/>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项目清单及技术参数</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中带</w:t>
            </w:r>
            <w:r>
              <w:rPr>
                <w:rFonts w:hint="eastAsia" w:ascii="Times New Roman" w:hAnsi="Times New Roman" w:eastAsia="宋体" w:cs="Times New Roman"/>
              </w:rPr>
              <w:t>“*”符号的条款为本项目的重要参数条款，未标识符号的条款为一般参数条款。</w:t>
            </w: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21676"/>
      <w:bookmarkStart w:id="4" w:name="_Toc21163"/>
      <w:bookmarkStart w:id="5" w:name="_Toc3414"/>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2490"/>
      <w:bookmarkStart w:id="8" w:name="_Toc60"/>
      <w:bookmarkStart w:id="9" w:name="_Toc5208"/>
      <w:bookmarkStart w:id="10" w:name="_Toc14802"/>
      <w:bookmarkStart w:id="11" w:name="_Toc30494"/>
      <w:bookmarkStart w:id="12" w:name="_Toc5499"/>
      <w:bookmarkStart w:id="13" w:name="_Toc11076"/>
      <w:bookmarkStart w:id="14" w:name="_Toc30275"/>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26481"/>
      <w:bookmarkStart w:id="17" w:name="_Toc3912"/>
      <w:bookmarkStart w:id="18" w:name="_Toc30724"/>
      <w:bookmarkStart w:id="19" w:name="_Toc10948"/>
      <w:bookmarkStart w:id="20" w:name="_Toc9131"/>
      <w:bookmarkStart w:id="21" w:name="_Toc13021"/>
      <w:bookmarkStart w:id="22" w:name="_Toc7067"/>
      <w:bookmarkStart w:id="23" w:name="_Toc32214"/>
      <w:bookmarkStart w:id="24" w:name="_Toc10183"/>
      <w:bookmarkStart w:id="25" w:name="_Toc3081"/>
      <w:bookmarkStart w:id="26" w:name="_Toc28103"/>
      <w:bookmarkStart w:id="27" w:name="_Toc3447"/>
      <w:bookmarkStart w:id="28" w:name="_Toc19115"/>
      <w:bookmarkStart w:id="29" w:name="_Toc3392"/>
      <w:bookmarkStart w:id="30" w:name="_Toc8717"/>
      <w:bookmarkStart w:id="31" w:name="_Toc18513"/>
      <w:bookmarkStart w:id="32" w:name="_Toc18879"/>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920"/>
      <w:bookmarkStart w:id="35" w:name="_Toc15196"/>
      <w:bookmarkStart w:id="36" w:name="_Toc30649"/>
      <w:bookmarkStart w:id="37" w:name="_Toc7249"/>
      <w:bookmarkStart w:id="38" w:name="_Toc18259"/>
      <w:bookmarkStart w:id="39" w:name="_Toc23645"/>
      <w:bookmarkStart w:id="40" w:name="_Toc9042"/>
      <w:bookmarkStart w:id="41" w:name="_Toc10142"/>
      <w:bookmarkStart w:id="42" w:name="_Toc22795"/>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19600"/>
      <w:bookmarkStart w:id="46" w:name="_Toc24117"/>
      <w:bookmarkStart w:id="47" w:name="_Toc25516"/>
      <w:bookmarkStart w:id="48" w:name="_Toc21988"/>
      <w:bookmarkStart w:id="49" w:name="_Toc30083"/>
      <w:bookmarkStart w:id="50" w:name="_Toc3004"/>
      <w:bookmarkStart w:id="51" w:name="_Toc26548"/>
      <w:bookmarkStart w:id="52" w:name="_Toc3534"/>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4887"/>
      <w:bookmarkStart w:id="55" w:name="_Toc23192"/>
      <w:bookmarkStart w:id="56" w:name="_Toc16764"/>
      <w:bookmarkStart w:id="57" w:name="_Toc32166"/>
      <w:bookmarkStart w:id="58" w:name="_Toc16666"/>
      <w:bookmarkStart w:id="59" w:name="_Toc21982"/>
      <w:bookmarkStart w:id="60" w:name="_Toc22198"/>
      <w:bookmarkStart w:id="61" w:name="_Toc27376"/>
      <w:bookmarkStart w:id="62" w:name="_Toc691"/>
      <w:bookmarkStart w:id="63" w:name="_Toc3494"/>
      <w:bookmarkStart w:id="64" w:name="_Toc12333"/>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4577"/>
      <w:bookmarkStart w:id="66" w:name="_Toc31581"/>
      <w:bookmarkStart w:id="67" w:name="_Toc22606"/>
      <w:bookmarkStart w:id="68" w:name="_Toc3943"/>
      <w:bookmarkStart w:id="69" w:name="_Toc9263"/>
      <w:bookmarkStart w:id="70" w:name="_Toc14269"/>
      <w:bookmarkStart w:id="71" w:name="_Toc25068"/>
      <w:bookmarkStart w:id="72" w:name="_Toc5412"/>
      <w:bookmarkStart w:id="73" w:name="_Toc1371"/>
      <w:bookmarkStart w:id="74" w:name="_Toc11914"/>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1489"/>
      <w:bookmarkStart w:id="77" w:name="_Toc31890"/>
      <w:bookmarkStart w:id="78" w:name="_Toc13677"/>
      <w:bookmarkStart w:id="79" w:name="_Toc10600"/>
      <w:bookmarkStart w:id="80" w:name="_Toc17108"/>
      <w:bookmarkStart w:id="81" w:name="_Toc13267"/>
      <w:bookmarkStart w:id="82" w:name="_Toc2937"/>
      <w:bookmarkStart w:id="83" w:name="_Toc29190"/>
      <w:bookmarkStart w:id="84" w:name="_Toc2316"/>
      <w:bookmarkStart w:id="85" w:name="_Toc18935"/>
      <w:bookmarkStart w:id="86" w:name="_Toc39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4122"/>
      <w:bookmarkStart w:id="88" w:name="_Toc26756"/>
      <w:bookmarkStart w:id="89" w:name="_Toc1313"/>
      <w:bookmarkStart w:id="90" w:name="_Toc12088"/>
      <w:bookmarkStart w:id="91" w:name="_Toc32365"/>
      <w:bookmarkStart w:id="92" w:name="_Toc31638"/>
      <w:bookmarkStart w:id="93" w:name="_Toc15916"/>
      <w:bookmarkStart w:id="94" w:name="_Toc21351"/>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8046"/>
      <w:bookmarkStart w:id="98" w:name="_Toc15083"/>
      <w:bookmarkStart w:id="99" w:name="_Toc10583"/>
      <w:bookmarkStart w:id="100" w:name="_Toc9398"/>
      <w:bookmarkStart w:id="101" w:name="_Toc29215"/>
      <w:bookmarkStart w:id="102" w:name="_Toc23212"/>
      <w:bookmarkStart w:id="103" w:name="_Toc27985"/>
      <w:bookmarkStart w:id="104" w:name="_Toc19589"/>
      <w:bookmarkStart w:id="105" w:name="_Toc26609"/>
      <w:bookmarkStart w:id="106" w:name="_Toc22760"/>
      <w:bookmarkStart w:id="107" w:name="_Toc27948"/>
      <w:bookmarkStart w:id="108" w:name="_Toc15894"/>
      <w:bookmarkStart w:id="109" w:name="_Toc1127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9648"/>
      <w:bookmarkStart w:id="111" w:name="_Toc27767"/>
      <w:bookmarkStart w:id="112" w:name="_Toc757"/>
      <w:bookmarkStart w:id="113" w:name="_Toc8940"/>
      <w:bookmarkStart w:id="114" w:name="_Toc24671"/>
      <w:bookmarkStart w:id="115" w:name="_Toc24655"/>
      <w:bookmarkStart w:id="116" w:name="_Toc14546"/>
      <w:bookmarkStart w:id="117" w:name="_Toc17204"/>
      <w:bookmarkStart w:id="118" w:name="_Toc4116"/>
      <w:bookmarkStart w:id="119" w:name="_Toc24107"/>
      <w:bookmarkStart w:id="120" w:name="_Toc8083"/>
      <w:bookmarkStart w:id="121" w:name="_Toc17741"/>
      <w:bookmarkStart w:id="122" w:name="_Toc8348"/>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8524"/>
      <w:bookmarkStart w:id="124" w:name="_Toc10945"/>
      <w:bookmarkStart w:id="125" w:name="_Toc14781"/>
      <w:bookmarkStart w:id="126" w:name="_Toc12682"/>
      <w:bookmarkStart w:id="127" w:name="_Toc20745"/>
      <w:bookmarkStart w:id="128" w:name="_Toc5840"/>
      <w:bookmarkStart w:id="129" w:name="_Toc10950"/>
      <w:bookmarkStart w:id="130" w:name="_Toc24280"/>
      <w:bookmarkStart w:id="131" w:name="_Toc10308"/>
      <w:bookmarkStart w:id="132" w:name="_Toc22243"/>
      <w:bookmarkStart w:id="133" w:name="_Toc15917"/>
      <w:bookmarkStart w:id="134" w:name="_Toc200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824EA3D"/>
    <w:multiLevelType w:val="singleLevel"/>
    <w:tmpl w:val="5824EA3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E911C5D"/>
    <w:rsid w:val="10954EC2"/>
    <w:rsid w:val="12A81059"/>
    <w:rsid w:val="13485B4A"/>
    <w:rsid w:val="14456F80"/>
    <w:rsid w:val="16CF49E3"/>
    <w:rsid w:val="195D2073"/>
    <w:rsid w:val="1A37043E"/>
    <w:rsid w:val="1D7F6F17"/>
    <w:rsid w:val="228C2840"/>
    <w:rsid w:val="26D9225C"/>
    <w:rsid w:val="272816FC"/>
    <w:rsid w:val="27C574A7"/>
    <w:rsid w:val="28203DA9"/>
    <w:rsid w:val="2E811DD5"/>
    <w:rsid w:val="357C4381"/>
    <w:rsid w:val="35B62063"/>
    <w:rsid w:val="364F4E7F"/>
    <w:rsid w:val="365344A5"/>
    <w:rsid w:val="38BB478A"/>
    <w:rsid w:val="396510AC"/>
    <w:rsid w:val="3A8239FC"/>
    <w:rsid w:val="3ED3727D"/>
    <w:rsid w:val="3F8F70D9"/>
    <w:rsid w:val="405F3E1B"/>
    <w:rsid w:val="41EE0E8D"/>
    <w:rsid w:val="434A6550"/>
    <w:rsid w:val="4669398D"/>
    <w:rsid w:val="48983A5D"/>
    <w:rsid w:val="4AE36A9A"/>
    <w:rsid w:val="4B7A520A"/>
    <w:rsid w:val="4C5E41EC"/>
    <w:rsid w:val="4EE10A0C"/>
    <w:rsid w:val="51CB3FD0"/>
    <w:rsid w:val="52D04152"/>
    <w:rsid w:val="53914C7E"/>
    <w:rsid w:val="5536063D"/>
    <w:rsid w:val="55F211D3"/>
    <w:rsid w:val="56183BA8"/>
    <w:rsid w:val="577B25E6"/>
    <w:rsid w:val="57963D28"/>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ADF7723"/>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2024-06-05T04:36:51Z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