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83259" w14:textId="77777777" w:rsidR="00C33F1F" w:rsidRDefault="00000000">
      <w:pPr>
        <w:spacing w:line="600" w:lineRule="exact"/>
        <w:jc w:val="center"/>
        <w:outlineLvl w:val="1"/>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病案托管服务参数文件</w:t>
      </w:r>
    </w:p>
    <w:p w14:paraId="2A8059A6" w14:textId="77777777" w:rsidR="00C33F1F" w:rsidRDefault="00C33F1F">
      <w:pPr>
        <w:pStyle w:val="aa"/>
      </w:pPr>
    </w:p>
    <w:p w14:paraId="18FBFC90" w14:textId="77777777" w:rsidR="00C33F1F" w:rsidRDefault="00000000">
      <w:pPr>
        <w:pStyle w:val="a5"/>
        <w:spacing w:after="0" w:line="600" w:lineRule="exact"/>
        <w:ind w:firstLineChars="200" w:firstLine="482"/>
        <w:rPr>
          <w:rFonts w:hAnsi="宋体" w:cs="宋体"/>
          <w:b/>
          <w:sz w:val="24"/>
          <w:szCs w:val="21"/>
        </w:rPr>
      </w:pPr>
      <w:r>
        <w:rPr>
          <w:rFonts w:hAnsi="宋体" w:cs="宋体" w:hint="eastAsia"/>
          <w:b/>
          <w:sz w:val="24"/>
          <w:szCs w:val="21"/>
        </w:rPr>
        <w:t>注：本章中标注“★”号的条款为本项目的实质性要求，供应商应全部满足，否</w:t>
      </w:r>
      <w:r>
        <w:rPr>
          <w:rFonts w:hAnsi="宋体" w:cs="宋体" w:hint="eastAsia"/>
          <w:b/>
          <w:sz w:val="24"/>
          <w:szCs w:val="21"/>
          <w:u w:val="single"/>
        </w:rPr>
        <w:t>则</w:t>
      </w:r>
      <w:r>
        <w:rPr>
          <w:rFonts w:hAnsi="宋体" w:cs="宋体" w:hint="eastAsia"/>
          <w:b/>
          <w:sz w:val="24"/>
          <w:szCs w:val="21"/>
        </w:rPr>
        <w:t>其投标文件作无效处理。</w:t>
      </w:r>
    </w:p>
    <w:p w14:paraId="1614F030" w14:textId="77777777" w:rsidR="00C33F1F"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一、预算及采购清单</w:t>
      </w:r>
    </w:p>
    <w:p w14:paraId="3C4F2D0A" w14:textId="77777777" w:rsidR="00C33F1F" w:rsidRDefault="00000000">
      <w:pPr>
        <w:pStyle w:val="ae"/>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项目总预算：</w:t>
      </w:r>
      <w:r>
        <w:rPr>
          <w:rFonts w:ascii="宋体" w:hAnsi="宋体" w:cs="宋体"/>
          <w:b/>
          <w:color w:val="000000"/>
          <w:sz w:val="24"/>
          <w:szCs w:val="36"/>
        </w:rPr>
        <w:t>9.96</w:t>
      </w:r>
      <w:r>
        <w:rPr>
          <w:rFonts w:ascii="宋体" w:hAnsi="宋体" w:cs="宋体" w:hint="eastAsia"/>
          <w:b/>
          <w:color w:val="000000"/>
          <w:sz w:val="24"/>
          <w:szCs w:val="36"/>
        </w:rPr>
        <w:t>万元/年</w:t>
      </w:r>
    </w:p>
    <w:p w14:paraId="447FBD09" w14:textId="77777777" w:rsidR="00C33F1F" w:rsidRDefault="00000000">
      <w:pPr>
        <w:pStyle w:val="ae"/>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最高限价：</w:t>
      </w:r>
      <w:r>
        <w:rPr>
          <w:rFonts w:ascii="宋体" w:hAnsi="宋体" w:cs="宋体"/>
          <w:b/>
          <w:color w:val="000000"/>
          <w:sz w:val="24"/>
          <w:szCs w:val="36"/>
        </w:rPr>
        <w:t>9.96</w:t>
      </w:r>
      <w:r>
        <w:rPr>
          <w:rFonts w:ascii="宋体" w:hAnsi="宋体" w:cs="宋体" w:hint="eastAsia"/>
          <w:b/>
          <w:color w:val="000000"/>
          <w:sz w:val="24"/>
          <w:szCs w:val="36"/>
        </w:rPr>
        <w:t>万元/年</w:t>
      </w:r>
    </w:p>
    <w:p w14:paraId="7383EB64" w14:textId="77777777" w:rsidR="00C33F1F" w:rsidRDefault="00000000">
      <w:pPr>
        <w:pStyle w:val="ae"/>
        <w:numPr>
          <w:ilvl w:val="0"/>
          <w:numId w:val="1"/>
        </w:numPr>
        <w:adjustRightInd w:val="0"/>
        <w:spacing w:beforeLines="50" w:before="156" w:afterLines="50" w:after="156" w:line="300" w:lineRule="exact"/>
        <w:ind w:left="0" w:firstLine="482"/>
        <w:contextualSpacing/>
        <w:jc w:val="left"/>
        <w:outlineLvl w:val="0"/>
        <w:rPr>
          <w:rFonts w:ascii="宋体" w:hAnsi="宋体" w:cs="宋体"/>
          <w:b/>
          <w:color w:val="000000"/>
          <w:sz w:val="24"/>
          <w:szCs w:val="36"/>
        </w:rPr>
      </w:pPr>
      <w:r>
        <w:rPr>
          <w:rFonts w:ascii="宋体" w:hAnsi="宋体" w:cs="宋体" w:hint="eastAsia"/>
          <w:b/>
          <w:color w:val="000000"/>
          <w:sz w:val="24"/>
          <w:szCs w:val="36"/>
        </w:rPr>
        <w:t>采购清单</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3956"/>
        <w:gridCol w:w="1134"/>
        <w:gridCol w:w="999"/>
        <w:gridCol w:w="1623"/>
      </w:tblGrid>
      <w:tr w:rsidR="00C33F1F" w14:paraId="62E3F519" w14:textId="77777777">
        <w:trPr>
          <w:trHeight w:val="580"/>
          <w:jc w:val="center"/>
        </w:trPr>
        <w:tc>
          <w:tcPr>
            <w:tcW w:w="930" w:type="dxa"/>
            <w:shd w:val="clear" w:color="auto" w:fill="auto"/>
            <w:vAlign w:val="center"/>
          </w:tcPr>
          <w:p w14:paraId="26EA5577" w14:textId="77777777" w:rsidR="00C33F1F"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3956" w:type="dxa"/>
            <w:shd w:val="clear" w:color="auto" w:fill="auto"/>
            <w:vAlign w:val="center"/>
          </w:tcPr>
          <w:p w14:paraId="06DD6CB5" w14:textId="77777777" w:rsidR="00C33F1F"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标的名称</w:t>
            </w:r>
          </w:p>
        </w:tc>
        <w:tc>
          <w:tcPr>
            <w:tcW w:w="1134" w:type="dxa"/>
            <w:shd w:val="clear" w:color="auto" w:fill="auto"/>
            <w:vAlign w:val="center"/>
          </w:tcPr>
          <w:p w14:paraId="77A01140" w14:textId="77777777" w:rsidR="00C33F1F"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999" w:type="dxa"/>
            <w:shd w:val="clear" w:color="auto" w:fill="auto"/>
            <w:vAlign w:val="center"/>
          </w:tcPr>
          <w:p w14:paraId="52C2B89D" w14:textId="77777777" w:rsidR="00C33F1F"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数量</w:t>
            </w:r>
          </w:p>
        </w:tc>
        <w:tc>
          <w:tcPr>
            <w:tcW w:w="1623" w:type="dxa"/>
            <w:vAlign w:val="center"/>
          </w:tcPr>
          <w:p w14:paraId="13313C53" w14:textId="77777777" w:rsidR="00C33F1F" w:rsidRDefault="00000000">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C33F1F" w14:paraId="6A580A3E" w14:textId="77777777">
        <w:trPr>
          <w:trHeight w:val="90"/>
          <w:jc w:val="center"/>
        </w:trPr>
        <w:tc>
          <w:tcPr>
            <w:tcW w:w="930" w:type="dxa"/>
            <w:shd w:val="clear" w:color="auto" w:fill="auto"/>
            <w:vAlign w:val="center"/>
          </w:tcPr>
          <w:p w14:paraId="5E3E9BB8" w14:textId="77777777" w:rsidR="00C33F1F" w:rsidRDefault="00000000">
            <w:pPr>
              <w:pStyle w:val="ae"/>
              <w:widowControl/>
              <w:adjustRightInd w:val="0"/>
              <w:snapToGrid w:val="0"/>
              <w:spacing w:line="300" w:lineRule="exact"/>
              <w:ind w:firstLineChars="0" w:firstLine="0"/>
              <w:contextualSpacing/>
              <w:jc w:val="center"/>
              <w:rPr>
                <w:rFonts w:ascii="宋体" w:hAnsi="宋体" w:cs="宋体"/>
                <w:b/>
                <w:bCs/>
                <w:color w:val="000000"/>
                <w:kern w:val="0"/>
                <w:sz w:val="22"/>
                <w:szCs w:val="22"/>
              </w:rPr>
            </w:pPr>
            <w:r>
              <w:rPr>
                <w:rFonts w:ascii="宋体" w:hAnsi="宋体" w:cs="宋体" w:hint="eastAsia"/>
                <w:b/>
                <w:bCs/>
                <w:color w:val="000000"/>
                <w:kern w:val="0"/>
                <w:sz w:val="22"/>
                <w:szCs w:val="22"/>
              </w:rPr>
              <w:t>1</w:t>
            </w:r>
          </w:p>
        </w:tc>
        <w:tc>
          <w:tcPr>
            <w:tcW w:w="3956" w:type="dxa"/>
            <w:shd w:val="clear" w:color="auto" w:fill="auto"/>
            <w:vAlign w:val="center"/>
          </w:tcPr>
          <w:p w14:paraId="22E8C14E" w14:textId="77777777" w:rsidR="00C33F1F" w:rsidRDefault="00000000">
            <w:pPr>
              <w:pStyle w:val="20"/>
              <w:adjustRightInd w:val="0"/>
              <w:snapToGrid w:val="0"/>
              <w:jc w:val="center"/>
              <w:rPr>
                <w:rFonts w:ascii="宋体" w:eastAsia="宋体" w:hAnsi="宋体" w:cs="宋体"/>
                <w:kern w:val="0"/>
                <w:sz w:val="22"/>
                <w:szCs w:val="22"/>
              </w:rPr>
            </w:pPr>
            <w:r>
              <w:rPr>
                <w:rFonts w:ascii="Segoe UI" w:hAnsi="Segoe UI" w:cs="Segoe UI" w:hint="eastAsia"/>
                <w:color w:val="333333"/>
                <w:sz w:val="22"/>
                <w:szCs w:val="22"/>
                <w:shd w:val="clear" w:color="auto" w:fill="FFFFFF"/>
              </w:rPr>
              <w:t>病案托管服务</w:t>
            </w:r>
          </w:p>
        </w:tc>
        <w:tc>
          <w:tcPr>
            <w:tcW w:w="1134" w:type="dxa"/>
            <w:shd w:val="clear" w:color="auto" w:fill="auto"/>
            <w:vAlign w:val="center"/>
          </w:tcPr>
          <w:p w14:paraId="564C908C" w14:textId="77777777" w:rsidR="00C33F1F" w:rsidRDefault="00000000">
            <w:pPr>
              <w:widowControl/>
              <w:adjustRightInd w:val="0"/>
              <w:snapToGrid w:val="0"/>
              <w:spacing w:line="300" w:lineRule="exact"/>
              <w:contextualSpacing/>
              <w:jc w:val="center"/>
              <w:rPr>
                <w:rFonts w:ascii="宋体" w:hAnsi="宋体" w:cs="宋体"/>
                <w:b/>
                <w:bCs/>
                <w:kern w:val="0"/>
                <w:sz w:val="22"/>
                <w:szCs w:val="22"/>
              </w:rPr>
            </w:pPr>
            <w:r>
              <w:rPr>
                <w:rFonts w:ascii="宋体" w:hAnsi="宋体" w:cs="宋体" w:hint="eastAsia"/>
                <w:b/>
                <w:bCs/>
                <w:kern w:val="0"/>
                <w:sz w:val="22"/>
                <w:szCs w:val="22"/>
              </w:rPr>
              <w:t>年</w:t>
            </w:r>
          </w:p>
        </w:tc>
        <w:tc>
          <w:tcPr>
            <w:tcW w:w="999" w:type="dxa"/>
            <w:shd w:val="clear" w:color="auto" w:fill="auto"/>
            <w:vAlign w:val="center"/>
          </w:tcPr>
          <w:p w14:paraId="52522213" w14:textId="77777777" w:rsidR="00C33F1F" w:rsidRDefault="00000000">
            <w:pPr>
              <w:widowControl/>
              <w:adjustRightInd w:val="0"/>
              <w:snapToGrid w:val="0"/>
              <w:spacing w:line="300" w:lineRule="exact"/>
              <w:contextualSpacing/>
              <w:jc w:val="center"/>
              <w:rPr>
                <w:rFonts w:ascii="宋体" w:hAnsi="宋体" w:cs="宋体"/>
                <w:b/>
                <w:bCs/>
                <w:color w:val="000000"/>
                <w:kern w:val="0"/>
                <w:sz w:val="22"/>
                <w:szCs w:val="22"/>
              </w:rPr>
            </w:pPr>
            <w:r>
              <w:rPr>
                <w:rFonts w:ascii="宋体" w:hAnsi="宋体" w:cs="宋体"/>
                <w:b/>
                <w:bCs/>
                <w:color w:val="000000"/>
                <w:kern w:val="0"/>
                <w:sz w:val="22"/>
                <w:szCs w:val="22"/>
              </w:rPr>
              <w:t>3</w:t>
            </w:r>
          </w:p>
        </w:tc>
        <w:tc>
          <w:tcPr>
            <w:tcW w:w="1623" w:type="dxa"/>
          </w:tcPr>
          <w:p w14:paraId="33F21D3A" w14:textId="77777777" w:rsidR="00C33F1F" w:rsidRDefault="00000000">
            <w:pPr>
              <w:widowControl/>
              <w:adjustRightInd w:val="0"/>
              <w:snapToGrid w:val="0"/>
              <w:spacing w:line="300" w:lineRule="exact"/>
              <w:contextualSpacing/>
              <w:jc w:val="center"/>
              <w:rPr>
                <w:rFonts w:ascii="宋体" w:hAnsi="宋体" w:cs="宋体"/>
                <w:b/>
                <w:bCs/>
                <w:color w:val="000000"/>
                <w:kern w:val="0"/>
                <w:sz w:val="22"/>
                <w:szCs w:val="22"/>
              </w:rPr>
            </w:pPr>
            <w:r>
              <w:rPr>
                <w:rFonts w:ascii="宋体" w:hAnsi="宋体" w:cs="宋体" w:hint="eastAsia"/>
                <w:b/>
                <w:bCs/>
                <w:color w:val="000000"/>
                <w:kern w:val="0"/>
                <w:sz w:val="22"/>
                <w:szCs w:val="22"/>
              </w:rPr>
              <w:t>该项目</w:t>
            </w:r>
            <w:proofErr w:type="gramStart"/>
            <w:r>
              <w:rPr>
                <w:rFonts w:ascii="宋体" w:hAnsi="宋体" w:cs="宋体" w:hint="eastAsia"/>
                <w:b/>
                <w:bCs/>
                <w:color w:val="000000"/>
                <w:kern w:val="0"/>
                <w:sz w:val="22"/>
                <w:szCs w:val="22"/>
              </w:rPr>
              <w:t>一</w:t>
            </w:r>
            <w:proofErr w:type="gramEnd"/>
            <w:r>
              <w:rPr>
                <w:rFonts w:ascii="宋体" w:hAnsi="宋体" w:cs="宋体" w:hint="eastAsia"/>
                <w:b/>
                <w:bCs/>
                <w:color w:val="000000"/>
                <w:kern w:val="0"/>
                <w:sz w:val="22"/>
                <w:szCs w:val="22"/>
              </w:rPr>
              <w:t>采三年，合同一年一签。</w:t>
            </w:r>
          </w:p>
        </w:tc>
      </w:tr>
    </w:tbl>
    <w:p w14:paraId="4E8DD400" w14:textId="77777777" w:rsidR="00C33F1F"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二、功能需求</w:t>
      </w:r>
    </w:p>
    <w:p w14:paraId="320AD7EC"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1.存</w:t>
      </w:r>
      <w:r>
        <w:rPr>
          <w:rFonts w:ascii="仿宋" w:eastAsia="仿宋" w:hAnsi="仿宋" w:cs="仿宋" w:hint="eastAsia"/>
          <w:sz w:val="32"/>
          <w:szCs w:val="32"/>
          <w:shd w:val="clear" w:color="auto" w:fill="FFFFFF"/>
        </w:rPr>
        <w:t>储条件满足中华人民共和国档案行业标准《档案保管外包服务管理规范DA/T67-2017》（见附件1）、《档案馆建筑设计规范JGJ 25-2010》（见附件2）相关要求。（提供承诺函）</w:t>
      </w:r>
    </w:p>
    <w:p w14:paraId="650A3CFE"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2.库房建筑为钢混或框架结构，场地权属清晰，保证在托管期间无法律纠纷。如为租赁库房，租赁期不得低于本项目服务期。</w:t>
      </w:r>
      <w:r>
        <w:rPr>
          <w:rFonts w:ascii="仿宋" w:eastAsia="仿宋" w:hAnsi="仿宋" w:cs="仿宋" w:hint="eastAsia"/>
          <w:sz w:val="32"/>
          <w:szCs w:val="32"/>
          <w:shd w:val="clear" w:color="auto" w:fill="FFFFFF"/>
        </w:rPr>
        <w:t>（提供证明材料或承诺函）</w:t>
      </w:r>
    </w:p>
    <w:p w14:paraId="54D2C852" w14:textId="77777777" w:rsidR="00C33F1F" w:rsidRDefault="00000000">
      <w:pPr>
        <w:pStyle w:val="ac"/>
        <w:widowControl/>
        <w:shd w:val="clear" w:color="auto" w:fill="FFFFFF"/>
        <w:spacing w:beforeAutospacing="0" w:after="240" w:afterAutospacing="0" w:line="351" w:lineRule="atLeast"/>
        <w:ind w:firstLineChars="200"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3.提供存储</w:t>
      </w:r>
      <w:r>
        <w:rPr>
          <w:rFonts w:ascii="仿宋" w:eastAsia="仿宋" w:hAnsi="仿宋" w:cs="仿宋" w:hint="eastAsia"/>
          <w:sz w:val="32"/>
          <w:szCs w:val="32"/>
          <w:shd w:val="clear" w:color="auto" w:fill="FFFFFF"/>
        </w:rPr>
        <w:t>场所具体地址</w:t>
      </w:r>
      <w:r>
        <w:rPr>
          <w:rFonts w:ascii="仿宋" w:eastAsia="仿宋" w:hAnsi="仿宋" w:cs="仿宋" w:hint="eastAsia"/>
          <w:color w:val="333333"/>
          <w:sz w:val="32"/>
          <w:szCs w:val="32"/>
          <w:shd w:val="clear" w:color="auto" w:fill="FFFFFF"/>
        </w:rPr>
        <w:t>，且要求距</w:t>
      </w:r>
      <w:proofErr w:type="gramStart"/>
      <w:r>
        <w:rPr>
          <w:rFonts w:ascii="仿宋" w:eastAsia="仿宋" w:hAnsi="仿宋" w:cs="仿宋" w:hint="eastAsia"/>
          <w:color w:val="333333"/>
          <w:sz w:val="32"/>
          <w:szCs w:val="32"/>
          <w:shd w:val="clear" w:color="auto" w:fill="FFFFFF"/>
        </w:rPr>
        <w:t>医</w:t>
      </w:r>
      <w:r>
        <w:rPr>
          <w:rFonts w:ascii="仿宋" w:eastAsia="仿宋" w:hAnsi="仿宋" w:cs="仿宋" w:hint="eastAsia"/>
          <w:color w:val="000000" w:themeColor="text1"/>
          <w:sz w:val="32"/>
          <w:szCs w:val="32"/>
          <w:shd w:val="clear" w:color="auto" w:fill="FFFFFF"/>
        </w:rPr>
        <w:t>院主院区</w:t>
      </w:r>
      <w:proofErr w:type="gramEnd"/>
      <w:r>
        <w:rPr>
          <w:rFonts w:ascii="仿宋" w:eastAsia="仿宋" w:hAnsi="仿宋" w:cs="仿宋" w:hint="eastAsia"/>
          <w:color w:val="000000" w:themeColor="text1"/>
          <w:sz w:val="32"/>
          <w:szCs w:val="32"/>
          <w:shd w:val="clear" w:color="auto" w:fill="FFFFFF"/>
        </w:rPr>
        <w:t>车程在</w:t>
      </w:r>
      <w:r>
        <w:rPr>
          <w:rFonts w:ascii="仿宋" w:eastAsia="仿宋" w:hAnsi="仿宋" w:cs="仿宋"/>
          <w:color w:val="000000" w:themeColor="text1"/>
          <w:sz w:val="32"/>
          <w:szCs w:val="32"/>
          <w:shd w:val="clear" w:color="auto" w:fill="FFFFFF"/>
        </w:rPr>
        <w:t>60</w:t>
      </w:r>
      <w:r>
        <w:rPr>
          <w:rFonts w:ascii="仿宋" w:eastAsia="仿宋" w:hAnsi="仿宋" w:cs="仿宋" w:hint="eastAsia"/>
          <w:color w:val="000000" w:themeColor="text1"/>
          <w:sz w:val="32"/>
          <w:szCs w:val="32"/>
          <w:shd w:val="clear" w:color="auto" w:fill="FFFFFF"/>
        </w:rPr>
        <w:t>km以</w:t>
      </w:r>
      <w:r>
        <w:rPr>
          <w:rFonts w:ascii="仿宋" w:eastAsia="仿宋" w:hAnsi="仿宋" w:cs="仿宋" w:hint="eastAsia"/>
          <w:color w:val="333333"/>
          <w:sz w:val="32"/>
          <w:szCs w:val="32"/>
          <w:shd w:val="clear" w:color="auto" w:fill="FFFFFF"/>
        </w:rPr>
        <w:t>内。</w:t>
      </w:r>
      <w:r>
        <w:rPr>
          <w:rFonts w:ascii="仿宋" w:eastAsia="仿宋" w:hAnsi="仿宋" w:cs="仿宋" w:hint="eastAsia"/>
          <w:sz w:val="32"/>
          <w:szCs w:val="32"/>
          <w:shd w:val="clear" w:color="auto" w:fill="FFFFFF"/>
        </w:rPr>
        <w:t>（提供证明材料）</w:t>
      </w:r>
    </w:p>
    <w:p w14:paraId="355BC8C8" w14:textId="77777777" w:rsidR="00C33F1F" w:rsidRDefault="00000000">
      <w:pPr>
        <w:pStyle w:val="ac"/>
        <w:widowControl/>
        <w:shd w:val="clear" w:color="auto" w:fill="FFFFFF"/>
        <w:spacing w:beforeAutospacing="0" w:after="240" w:afterAutospacing="0" w:line="351" w:lineRule="atLeast"/>
        <w:ind w:firstLineChars="200"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sz w:val="32"/>
          <w:szCs w:val="32"/>
          <w:shd w:val="clear" w:color="auto" w:fill="FFFFFF"/>
        </w:rPr>
        <w:t>4.按照国家病案存储相关要求，库房符合“防火、防尘、防鼠、防虫、防光、防水、防潮、防盗、防霉、防高</w:t>
      </w:r>
      <w:r>
        <w:rPr>
          <w:rFonts w:ascii="仿宋" w:eastAsia="仿宋" w:hAnsi="仿宋" w:cs="仿宋" w:hint="eastAsia"/>
          <w:sz w:val="32"/>
          <w:szCs w:val="32"/>
          <w:shd w:val="clear" w:color="auto" w:fill="FFFFFF"/>
        </w:rPr>
        <w:lastRenderedPageBreak/>
        <w:t>温”等“十防”标准，温湿度符合档案管理要求，配备24小时监控系统（库房“十防”功能、温湿度管理、监控系统需提供相应彩色打印照片，照片应清晰可辨）。</w:t>
      </w:r>
    </w:p>
    <w:p w14:paraId="1D327614"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5.仓储能力：能划定独立区域存储不低于4000箱病案，并承诺有相应扩展空间（每年扩展空间不低1</w:t>
      </w:r>
      <w:r>
        <w:rPr>
          <w:rFonts w:ascii="仿宋" w:eastAsia="仿宋" w:hAnsi="仿宋" w:cs="仿宋"/>
          <w:color w:val="333333"/>
          <w:sz w:val="32"/>
          <w:szCs w:val="32"/>
          <w:shd w:val="clear" w:color="auto" w:fill="FFFFFF"/>
        </w:rPr>
        <w:t>500</w:t>
      </w:r>
      <w:r>
        <w:rPr>
          <w:rFonts w:ascii="仿宋" w:eastAsia="仿宋" w:hAnsi="仿宋" w:cs="仿宋" w:hint="eastAsia"/>
          <w:color w:val="333333"/>
          <w:sz w:val="32"/>
          <w:szCs w:val="32"/>
          <w:shd w:val="clear" w:color="auto" w:fill="FFFFFF"/>
        </w:rPr>
        <w:t>箱）。</w:t>
      </w:r>
      <w:r>
        <w:rPr>
          <w:rFonts w:ascii="仿宋" w:eastAsia="仿宋" w:hAnsi="仿宋" w:cs="仿宋" w:hint="eastAsia"/>
          <w:sz w:val="32"/>
          <w:szCs w:val="32"/>
          <w:shd w:val="clear" w:color="auto" w:fill="FFFFFF"/>
        </w:rPr>
        <w:t>（提供承诺函）</w:t>
      </w:r>
    </w:p>
    <w:p w14:paraId="33E89371"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6.病案箱尺寸约为0.45m×0.33m×0.28m，提供封箱、防虫霉等措施。</w:t>
      </w:r>
    </w:p>
    <w:p w14:paraId="7C6D1609"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7.</w:t>
      </w:r>
      <w:r>
        <w:rPr>
          <w:rFonts w:ascii="仿宋" w:eastAsia="仿宋" w:hAnsi="仿宋" w:cs="仿宋" w:hint="eastAsia"/>
          <w:sz w:val="32"/>
          <w:szCs w:val="32"/>
          <w:shd w:val="clear" w:color="auto" w:fill="FFFFFF"/>
        </w:rPr>
        <w:t>库房要求仅能存储纸质档案材料，不能存储其他物品。</w:t>
      </w:r>
    </w:p>
    <w:p w14:paraId="7FF35C1D"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8.托管病案实行7*24小时不间断视频监控，能够提供不少于六个月的监控视频备查。</w:t>
      </w:r>
    </w:p>
    <w:p w14:paraId="3621C6B0"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9.提供密闭箱式转运车辆用于托管病案转运，且车辆需配备必要的消防安防等措施，有专人负责押运。转运过程中安全责任由供应商承担。</w:t>
      </w:r>
    </w:p>
    <w:p w14:paraId="48D0150B"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10.提供对托管病案检索著录、交接、打包、搬运、装车、转运、卸车、入库上架等服务。负责将采购人原始</w:t>
      </w:r>
      <w:proofErr w:type="gramStart"/>
      <w:r>
        <w:rPr>
          <w:rFonts w:ascii="仿宋" w:eastAsia="仿宋" w:hAnsi="仿宋" w:cs="仿宋" w:hint="eastAsia"/>
          <w:color w:val="333333"/>
          <w:sz w:val="32"/>
          <w:szCs w:val="32"/>
          <w:shd w:val="clear" w:color="auto" w:fill="FFFFFF"/>
        </w:rPr>
        <w:t>病案按箱转运</w:t>
      </w:r>
      <w:proofErr w:type="gramEnd"/>
      <w:r>
        <w:rPr>
          <w:rFonts w:ascii="仿宋" w:eastAsia="仿宋" w:hAnsi="仿宋" w:cs="仿宋" w:hint="eastAsia"/>
          <w:color w:val="333333"/>
          <w:sz w:val="32"/>
          <w:szCs w:val="32"/>
          <w:shd w:val="clear" w:color="auto" w:fill="FFFFFF"/>
        </w:rPr>
        <w:t>至托管库房，过程中发生的所有费用均包含在报价合计中。</w:t>
      </w:r>
    </w:p>
    <w:p w14:paraId="71C42F4B"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lastRenderedPageBreak/>
        <w:t>▲</w:t>
      </w:r>
      <w:r>
        <w:rPr>
          <w:rFonts w:ascii="仿宋" w:eastAsia="仿宋" w:hAnsi="仿宋" w:cs="仿宋" w:hint="eastAsia"/>
          <w:color w:val="333333"/>
          <w:sz w:val="32"/>
          <w:szCs w:val="32"/>
          <w:shd w:val="clear" w:color="auto" w:fill="FFFFFF"/>
          <w:lang w:bidi="ar"/>
        </w:rPr>
        <w:t>11.</w:t>
      </w:r>
      <w:r>
        <w:rPr>
          <w:rFonts w:ascii="仿宋" w:eastAsia="仿宋" w:hAnsi="仿宋" w:cs="仿宋" w:hint="eastAsia"/>
          <w:color w:val="333333"/>
          <w:sz w:val="32"/>
          <w:szCs w:val="32"/>
          <w:shd w:val="clear" w:color="auto" w:fill="FFFFFF"/>
        </w:rPr>
        <w:t>供应商应在接到采购人托管通知后一周内完成病案运输和入库工作。</w:t>
      </w:r>
    </w:p>
    <w:p w14:paraId="0E574A75"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12.病案储存出入库与运输应严格管理并提供过程监管，确保原始病案安全。</w:t>
      </w:r>
    </w:p>
    <w:p w14:paraId="45D027DF"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sz w:val="32"/>
          <w:szCs w:val="32"/>
        </w:rPr>
        <w:t>13.</w:t>
      </w:r>
      <w:r>
        <w:rPr>
          <w:rFonts w:ascii="仿宋" w:eastAsia="仿宋" w:hAnsi="仿宋" w:cs="仿宋" w:hint="eastAsia"/>
          <w:color w:val="333333"/>
          <w:sz w:val="32"/>
          <w:szCs w:val="32"/>
          <w:shd w:val="clear" w:color="auto" w:fill="FFFFFF"/>
        </w:rPr>
        <w:t>有完善的库房安全管理、交接、保管、信息保密、查借阅等制度。</w:t>
      </w:r>
    </w:p>
    <w:p w14:paraId="5D9666C8" w14:textId="77777777" w:rsidR="00C33F1F" w:rsidRDefault="00000000">
      <w:pPr>
        <w:pStyle w:val="ac"/>
        <w:widowControl/>
        <w:shd w:val="clear" w:color="auto" w:fill="FFFFFF"/>
        <w:spacing w:beforeAutospacing="0" w:after="135" w:afterAutospacing="0" w:line="27" w:lineRule="atLeast"/>
        <w:ind w:firstLineChars="200"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rPr>
        <w:t>14.供应商应确保所托管病案内容保密，未经许可不得擅自开启已密封病案箱，不翻阅、不泄露病案信息，履行保密责任。</w:t>
      </w:r>
      <w:r>
        <w:rPr>
          <w:rFonts w:ascii="仿宋" w:eastAsia="仿宋" w:hAnsi="仿宋" w:cs="仿宋" w:hint="eastAsia"/>
          <w:color w:val="333333"/>
          <w:sz w:val="32"/>
          <w:szCs w:val="32"/>
          <w:shd w:val="clear" w:color="auto" w:fill="FFFFFF"/>
          <w:lang w:bidi="ar"/>
        </w:rPr>
        <w:t>（提供承诺函）</w:t>
      </w:r>
    </w:p>
    <w:p w14:paraId="6DF1FF83" w14:textId="77777777" w:rsidR="00C33F1F" w:rsidRDefault="00000000">
      <w:pPr>
        <w:pStyle w:val="ac"/>
        <w:widowControl/>
        <w:shd w:val="clear" w:color="auto" w:fill="FFFFFF"/>
        <w:spacing w:beforeAutospacing="0" w:after="240" w:afterAutospacing="0" w:line="351" w:lineRule="atLeast"/>
        <w:ind w:firstLine="480"/>
        <w:rPr>
          <w:rFonts w:ascii="仿宋" w:eastAsia="仿宋" w:hAnsi="仿宋" w:cs="仿宋"/>
          <w:color w:val="333333"/>
          <w:sz w:val="32"/>
          <w:szCs w:val="32"/>
          <w:shd w:val="clear" w:color="auto" w:fill="FFFFFF"/>
        </w:rPr>
      </w:pPr>
      <w:r>
        <w:rPr>
          <w:rFonts w:ascii="宋体" w:eastAsia="宋体" w:hAnsi="宋体" w:cs="宋体" w:hint="eastAsia"/>
          <w:szCs w:val="21"/>
        </w:rPr>
        <w:t>★</w:t>
      </w:r>
      <w:r>
        <w:rPr>
          <w:rFonts w:ascii="仿宋" w:eastAsia="仿宋" w:hAnsi="仿宋" w:cs="仿宋" w:hint="eastAsia"/>
          <w:color w:val="333333"/>
          <w:sz w:val="32"/>
          <w:szCs w:val="32"/>
          <w:shd w:val="clear" w:color="auto" w:fill="FFFFFF"/>
          <w:lang w:bidi="ar"/>
        </w:rPr>
        <w:t>15.</w:t>
      </w:r>
      <w:r>
        <w:rPr>
          <w:rFonts w:ascii="仿宋" w:eastAsia="仿宋" w:hAnsi="仿宋" w:cs="仿宋" w:hint="eastAsia"/>
          <w:color w:val="333333"/>
          <w:sz w:val="32"/>
          <w:szCs w:val="32"/>
          <w:shd w:val="clear" w:color="auto" w:fill="FFFFFF"/>
        </w:rPr>
        <w:t>有病案存放突发事件的应急预案，能够应对突发事件处理。</w:t>
      </w:r>
    </w:p>
    <w:p w14:paraId="77E44444" w14:textId="77777777" w:rsidR="00C33F1F"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sz w:val="32"/>
          <w:szCs w:val="32"/>
          <w:shd w:val="clear" w:color="auto" w:fill="FFFFFF"/>
        </w:rPr>
        <w:t>16.</w:t>
      </w:r>
      <w:r>
        <w:rPr>
          <w:rFonts w:ascii="仿宋" w:eastAsia="仿宋" w:hAnsi="仿宋" w:cs="仿宋" w:hint="eastAsia"/>
          <w:color w:val="333333"/>
          <w:kern w:val="0"/>
          <w:sz w:val="32"/>
          <w:szCs w:val="32"/>
          <w:shd w:val="clear" w:color="auto" w:fill="FFFFFF"/>
          <w:lang w:bidi="ar"/>
        </w:rPr>
        <w:t>按要求提供病案存储量、入库量、调阅量、库管理等信息报表服务。</w:t>
      </w:r>
    </w:p>
    <w:p w14:paraId="0B1BD254" w14:textId="77777777" w:rsidR="00C33F1F" w:rsidRDefault="00000000">
      <w:pPr>
        <w:spacing w:line="360" w:lineRule="auto"/>
        <w:ind w:firstLineChars="200" w:firstLine="480"/>
        <w:rPr>
          <w:rFonts w:ascii="仿宋" w:eastAsia="仿宋" w:hAnsi="仿宋" w:cs="仿宋"/>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17.每年可提供不少于12</w:t>
      </w:r>
      <w:r>
        <w:rPr>
          <w:rFonts w:ascii="仿宋" w:eastAsia="仿宋" w:hAnsi="仿宋" w:cs="仿宋" w:hint="eastAsia"/>
          <w:kern w:val="0"/>
          <w:sz w:val="32"/>
          <w:szCs w:val="32"/>
          <w:shd w:val="clear" w:color="auto" w:fill="FFFFFF"/>
          <w:lang w:bidi="ar"/>
        </w:rPr>
        <w:t>次的病案原件免费调阅，</w:t>
      </w:r>
      <w:r>
        <w:rPr>
          <w:rFonts w:ascii="仿宋" w:eastAsia="仿宋" w:hAnsi="仿宋" w:cs="仿宋" w:hint="eastAsia"/>
          <w:sz w:val="32"/>
          <w:szCs w:val="32"/>
          <w:shd w:val="clear" w:color="auto" w:fill="FFFFFF"/>
        </w:rPr>
        <w:t>原件调阅后可4小时内送至采购人指定地点。</w:t>
      </w:r>
    </w:p>
    <w:p w14:paraId="45608A1A" w14:textId="77777777" w:rsidR="00C33F1F" w:rsidRDefault="00000000">
      <w:pPr>
        <w:pStyle w:val="ac"/>
        <w:widowControl/>
        <w:shd w:val="clear" w:color="auto" w:fill="FFFFFF"/>
        <w:spacing w:beforeAutospacing="0" w:after="240" w:afterAutospacing="0" w:line="351" w:lineRule="atLeast"/>
        <w:ind w:left="630"/>
        <w:rPr>
          <w:rFonts w:ascii="仿宋" w:eastAsia="仿宋" w:hAnsi="仿宋" w:cs="仿宋"/>
          <w:color w:val="333333"/>
          <w:sz w:val="32"/>
          <w:szCs w:val="32"/>
          <w:shd w:val="clear" w:color="auto" w:fill="FFFFFF"/>
          <w:lang w:bidi="ar"/>
        </w:rPr>
      </w:pPr>
      <w:r>
        <w:rPr>
          <w:rFonts w:ascii="宋体" w:eastAsia="宋体" w:hAnsi="宋体" w:cs="宋体" w:hint="eastAsia"/>
          <w:szCs w:val="21"/>
        </w:rPr>
        <w:t>★</w:t>
      </w:r>
      <w:r>
        <w:rPr>
          <w:rFonts w:ascii="仿宋" w:eastAsia="仿宋" w:hAnsi="仿宋" w:cs="仿宋" w:hint="eastAsia"/>
          <w:sz w:val="32"/>
          <w:szCs w:val="32"/>
          <w:shd w:val="clear" w:color="auto" w:fill="FFFFFF"/>
          <w:lang w:bidi="ar"/>
        </w:rPr>
        <w:t>18.不接受病案托管的转包和</w:t>
      </w:r>
      <w:r>
        <w:rPr>
          <w:rFonts w:ascii="仿宋" w:eastAsia="仿宋" w:hAnsi="仿宋" w:cs="仿宋" w:hint="eastAsia"/>
          <w:color w:val="333333"/>
          <w:sz w:val="32"/>
          <w:szCs w:val="32"/>
          <w:shd w:val="clear" w:color="auto" w:fill="FFFFFF"/>
          <w:lang w:bidi="ar"/>
        </w:rPr>
        <w:t>分包服务。（提供承诺函）</w:t>
      </w:r>
    </w:p>
    <w:p w14:paraId="239EDA05" w14:textId="77777777" w:rsidR="00C33F1F"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19.合同执行过程中，提供新增病案的同质化管理。</w:t>
      </w:r>
    </w:p>
    <w:p w14:paraId="201EABBD" w14:textId="77777777" w:rsidR="00C33F1F"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20.合同执行期满后，供应商经与采购人核对无误后，无条件将所保管的全部病案资料转运至指定地点，费用经协</w:t>
      </w:r>
      <w:r>
        <w:rPr>
          <w:rFonts w:ascii="仿宋" w:eastAsia="仿宋" w:hAnsi="仿宋" w:cs="仿宋" w:hint="eastAsia"/>
          <w:color w:val="333333"/>
          <w:kern w:val="0"/>
          <w:sz w:val="32"/>
          <w:szCs w:val="32"/>
          <w:shd w:val="clear" w:color="auto" w:fill="FFFFFF"/>
          <w:lang w:bidi="ar"/>
        </w:rPr>
        <w:lastRenderedPageBreak/>
        <w:t>商后确定。</w:t>
      </w:r>
    </w:p>
    <w:p w14:paraId="53AF34CC" w14:textId="77777777" w:rsidR="00C33F1F" w:rsidRDefault="00000000">
      <w:pPr>
        <w:spacing w:line="360" w:lineRule="auto"/>
        <w:ind w:firstLineChars="200" w:firstLine="480"/>
        <w:rPr>
          <w:rFonts w:ascii="仿宋" w:eastAsia="仿宋" w:hAnsi="仿宋" w:cs="仿宋"/>
          <w:color w:val="333333"/>
          <w:kern w:val="0"/>
          <w:sz w:val="32"/>
          <w:szCs w:val="32"/>
          <w:shd w:val="clear" w:color="auto" w:fill="FFFFFF"/>
          <w:lang w:bidi="ar"/>
        </w:rPr>
      </w:pPr>
      <w:r>
        <w:rPr>
          <w:rFonts w:ascii="宋体" w:eastAsia="宋体" w:hAnsi="宋体" w:cs="宋体" w:hint="eastAsia"/>
          <w:sz w:val="24"/>
          <w:szCs w:val="21"/>
        </w:rPr>
        <w:t>▲</w:t>
      </w:r>
      <w:r>
        <w:rPr>
          <w:rFonts w:ascii="仿宋" w:eastAsia="仿宋" w:hAnsi="仿宋" w:cs="仿宋" w:hint="eastAsia"/>
          <w:color w:val="333333"/>
          <w:kern w:val="0"/>
          <w:sz w:val="32"/>
          <w:szCs w:val="32"/>
          <w:shd w:val="clear" w:color="auto" w:fill="FFFFFF"/>
          <w:lang w:bidi="ar"/>
        </w:rPr>
        <w:t>21.具备完成该项目所需档案存储、托管或档案服务等相关资格或经营范围（提供证明材料并加盖公章）。</w:t>
      </w:r>
    </w:p>
    <w:p w14:paraId="7C9A721D" w14:textId="6B0AF5BC" w:rsidR="00E818A0" w:rsidRPr="00E75FB4" w:rsidRDefault="00000000" w:rsidP="00E75FB4">
      <w:pPr>
        <w:pStyle w:val="2"/>
        <w:ind w:leftChars="0" w:left="0" w:firstLine="640"/>
        <w:rPr>
          <w:lang w:bidi="ar"/>
        </w:rPr>
      </w:pPr>
      <w:r>
        <w:rPr>
          <w:rFonts w:ascii="仿宋" w:eastAsia="仿宋" w:hAnsi="仿宋" w:cs="仿宋"/>
          <w:color w:val="333333"/>
          <w:kern w:val="0"/>
          <w:sz w:val="32"/>
          <w:szCs w:val="32"/>
          <w:shd w:val="clear" w:color="auto" w:fill="FFFFFF"/>
          <w:lang w:bidi="ar"/>
        </w:rPr>
        <w:t>2</w:t>
      </w:r>
      <w:r>
        <w:rPr>
          <w:rFonts w:ascii="仿宋" w:eastAsia="仿宋" w:hAnsi="仿宋" w:cs="仿宋" w:hint="eastAsia"/>
          <w:color w:val="333333"/>
          <w:kern w:val="0"/>
          <w:sz w:val="32"/>
          <w:szCs w:val="32"/>
          <w:shd w:val="clear" w:color="auto" w:fill="FFFFFF"/>
          <w:lang w:bidi="ar"/>
        </w:rPr>
        <w:t>2.具有档案管理服务类相关证书，如环境管理体系认证证书、信息安全管理体系认证证书、档案产品售后服务类认证证书等（提供证明材料并加盖公章）。</w:t>
      </w:r>
    </w:p>
    <w:p w14:paraId="445CFF81" w14:textId="1E821826" w:rsidR="00C33F1F" w:rsidRDefault="00000000" w:rsidP="00E75FB4">
      <w:pPr>
        <w:spacing w:line="360" w:lineRule="auto"/>
        <w:ind w:firstLineChars="200" w:firstLine="640"/>
        <w:outlineLvl w:val="1"/>
        <w:rPr>
          <w:rFonts w:ascii="黑体" w:eastAsia="黑体" w:hAnsi="黑体" w:cs="黑体"/>
          <w:sz w:val="32"/>
          <w:szCs w:val="32"/>
        </w:rPr>
      </w:pPr>
      <w:r>
        <w:rPr>
          <w:rFonts w:ascii="黑体" w:eastAsia="黑体" w:hAnsi="黑体" w:cs="黑体" w:hint="eastAsia"/>
          <w:sz w:val="32"/>
          <w:szCs w:val="32"/>
        </w:rPr>
        <w:t>★</w:t>
      </w:r>
      <w:r w:rsidR="00E818A0">
        <w:rPr>
          <w:rFonts w:ascii="黑体" w:eastAsia="黑体" w:hAnsi="黑体" w:cs="黑体" w:hint="eastAsia"/>
          <w:sz w:val="32"/>
          <w:szCs w:val="32"/>
        </w:rPr>
        <w:t>三、</w:t>
      </w:r>
      <w:r>
        <w:rPr>
          <w:rFonts w:ascii="黑体" w:eastAsia="黑体" w:hAnsi="黑体" w:cs="黑体" w:hint="eastAsia"/>
          <w:sz w:val="32"/>
          <w:szCs w:val="32"/>
        </w:rPr>
        <w:t>商务要求</w:t>
      </w:r>
    </w:p>
    <w:p w14:paraId="3EC2C7AA" w14:textId="77777777" w:rsidR="00C33F1F" w:rsidRDefault="00000000">
      <w:pPr>
        <w:keepNext/>
        <w:keepLines/>
        <w:numPr>
          <w:ilvl w:val="0"/>
          <w:numId w:val="3"/>
        </w:numPr>
        <w:spacing w:line="360" w:lineRule="auto"/>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项目完成期限：合同签订生效后3个月内，并交付采购人验收。</w:t>
      </w:r>
    </w:p>
    <w:p w14:paraId="51728964" w14:textId="77777777" w:rsidR="00C33F1F" w:rsidRDefault="00000000">
      <w:pPr>
        <w:keepNext/>
        <w:keepLines/>
        <w:numPr>
          <w:ilvl w:val="0"/>
          <w:numId w:val="3"/>
        </w:numPr>
        <w:spacing w:line="360" w:lineRule="auto"/>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服务地点:四川省妇幼保健院指定地点。</w:t>
      </w:r>
    </w:p>
    <w:p w14:paraId="320DA9DB" w14:textId="77777777" w:rsidR="00C33F1F" w:rsidRDefault="00000000">
      <w:pPr>
        <w:keepNext/>
        <w:keepLines/>
        <w:numPr>
          <w:ilvl w:val="0"/>
          <w:numId w:val="3"/>
        </w:numPr>
        <w:spacing w:line="360" w:lineRule="auto"/>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付款方式及条件：</w:t>
      </w:r>
    </w:p>
    <w:p w14:paraId="5139F8F2" w14:textId="7FE51E2D" w:rsidR="00C33F1F" w:rsidRDefault="00000000">
      <w:pPr>
        <w:spacing w:line="360" w:lineRule="auto"/>
        <w:ind w:firstLineChars="200" w:firstLine="640"/>
        <w:rPr>
          <w:rFonts w:ascii="仿宋" w:eastAsia="仿宋" w:hAnsi="仿宋" w:cs="仿宋"/>
          <w:b/>
          <w:bCs/>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1、按年付款：第一年合同签订生效后支付年度合同费用的30%；验收合格后支付年度合同费用的60%，服务期结束后支付年度合同费用的1</w:t>
      </w:r>
      <w:r>
        <w:rPr>
          <w:rFonts w:ascii="仿宋" w:eastAsia="仿宋" w:hAnsi="仿宋" w:cs="仿宋"/>
          <w:color w:val="333333"/>
          <w:kern w:val="0"/>
          <w:sz w:val="32"/>
          <w:szCs w:val="32"/>
          <w:shd w:val="clear" w:color="auto" w:fill="FFFFFF"/>
          <w:lang w:bidi="ar"/>
        </w:rPr>
        <w:t>0</w:t>
      </w:r>
      <w:r>
        <w:rPr>
          <w:rFonts w:ascii="仿宋" w:eastAsia="仿宋" w:hAnsi="仿宋" w:cs="仿宋" w:hint="eastAsia"/>
          <w:color w:val="333333"/>
          <w:kern w:val="0"/>
          <w:sz w:val="32"/>
          <w:szCs w:val="32"/>
          <w:shd w:val="clear" w:color="auto" w:fill="FFFFFF"/>
          <w:lang w:bidi="ar"/>
        </w:rPr>
        <w:t>%；第二年及第三年合同签订后支付</w:t>
      </w:r>
      <w:r>
        <w:rPr>
          <w:rFonts w:ascii="仿宋" w:eastAsia="仿宋" w:hAnsi="仿宋" w:cs="仿宋" w:hint="eastAsia"/>
          <w:kern w:val="0"/>
          <w:sz w:val="32"/>
          <w:szCs w:val="32"/>
          <w:shd w:val="clear" w:color="auto" w:fill="FFFFFF"/>
          <w:lang w:bidi="ar"/>
        </w:rPr>
        <w:t>年度合同费用的</w:t>
      </w:r>
      <w:r>
        <w:rPr>
          <w:rFonts w:ascii="仿宋" w:eastAsia="仿宋" w:hAnsi="仿宋" w:cs="仿宋"/>
          <w:kern w:val="0"/>
          <w:sz w:val="32"/>
          <w:szCs w:val="32"/>
          <w:shd w:val="clear" w:color="auto" w:fill="FFFFFF"/>
          <w:lang w:bidi="ar"/>
        </w:rPr>
        <w:t>90</w:t>
      </w:r>
      <w:r>
        <w:rPr>
          <w:rFonts w:ascii="仿宋" w:eastAsia="仿宋" w:hAnsi="仿宋" w:cs="仿宋" w:hint="eastAsia"/>
          <w:kern w:val="0"/>
          <w:sz w:val="32"/>
          <w:szCs w:val="32"/>
          <w:shd w:val="clear" w:color="auto" w:fill="FFFFFF"/>
          <w:lang w:bidi="ar"/>
        </w:rPr>
        <w:t>%，服务期结束后支付年度合同费用的1</w:t>
      </w:r>
      <w:r>
        <w:rPr>
          <w:rFonts w:ascii="仿宋" w:eastAsia="仿宋" w:hAnsi="仿宋" w:cs="仿宋"/>
          <w:kern w:val="0"/>
          <w:sz w:val="32"/>
          <w:szCs w:val="32"/>
          <w:shd w:val="clear" w:color="auto" w:fill="FFFFFF"/>
          <w:lang w:bidi="ar"/>
        </w:rPr>
        <w:t>0</w:t>
      </w:r>
      <w:r>
        <w:rPr>
          <w:rFonts w:ascii="仿宋" w:eastAsia="仿宋" w:hAnsi="仿宋" w:cs="仿宋" w:hint="eastAsia"/>
          <w:kern w:val="0"/>
          <w:sz w:val="32"/>
          <w:szCs w:val="32"/>
          <w:shd w:val="clear" w:color="auto" w:fill="FFFFFF"/>
          <w:lang w:bidi="ar"/>
        </w:rPr>
        <w:t>%。</w:t>
      </w:r>
    </w:p>
    <w:p w14:paraId="38103335" w14:textId="77777777" w:rsidR="00C33F1F" w:rsidRDefault="00000000">
      <w:pPr>
        <w:spacing w:line="360" w:lineRule="auto"/>
        <w:ind w:firstLineChars="200" w:firstLine="640"/>
        <w:rPr>
          <w:rFonts w:ascii="仿宋" w:eastAsia="仿宋" w:hAnsi="仿宋" w:cs="仿宋"/>
          <w:kern w:val="0"/>
          <w:sz w:val="32"/>
          <w:szCs w:val="32"/>
          <w:shd w:val="clear" w:color="auto" w:fill="FFFFFF"/>
          <w:lang w:bidi="ar"/>
        </w:rPr>
      </w:pPr>
      <w:r>
        <w:rPr>
          <w:rFonts w:ascii="仿宋" w:eastAsia="仿宋" w:hAnsi="仿宋" w:cs="仿宋"/>
          <w:kern w:val="0"/>
          <w:sz w:val="32"/>
          <w:szCs w:val="32"/>
          <w:shd w:val="clear" w:color="auto" w:fill="FFFFFF"/>
          <w:lang w:bidi="ar"/>
        </w:rPr>
        <w:t>2</w:t>
      </w:r>
      <w:r>
        <w:rPr>
          <w:rFonts w:ascii="仿宋" w:eastAsia="仿宋" w:hAnsi="仿宋" w:cs="仿宋" w:hint="eastAsia"/>
          <w:kern w:val="0"/>
          <w:sz w:val="32"/>
          <w:szCs w:val="32"/>
          <w:shd w:val="clear" w:color="auto" w:fill="FFFFFF"/>
          <w:lang w:bidi="ar"/>
        </w:rPr>
        <w:t>、服务期：</w:t>
      </w:r>
      <w:proofErr w:type="gramStart"/>
      <w:r>
        <w:rPr>
          <w:rFonts w:ascii="仿宋" w:eastAsia="仿宋" w:hAnsi="仿宋" w:cs="仿宋" w:hint="eastAsia"/>
          <w:kern w:val="0"/>
          <w:sz w:val="32"/>
          <w:szCs w:val="32"/>
          <w:shd w:val="clear" w:color="auto" w:fill="FFFFFF"/>
          <w:lang w:bidi="ar"/>
        </w:rPr>
        <w:t>自项目</w:t>
      </w:r>
      <w:proofErr w:type="gramEnd"/>
      <w:r>
        <w:rPr>
          <w:rFonts w:ascii="仿宋" w:eastAsia="仿宋" w:hAnsi="仿宋" w:cs="仿宋" w:hint="eastAsia"/>
          <w:kern w:val="0"/>
          <w:sz w:val="32"/>
          <w:szCs w:val="32"/>
          <w:shd w:val="clear" w:color="auto" w:fill="FFFFFF"/>
          <w:lang w:bidi="ar"/>
        </w:rPr>
        <w:t>验收通过之日起1年。</w:t>
      </w:r>
    </w:p>
    <w:p w14:paraId="6089432E" w14:textId="77777777" w:rsidR="00C33F1F" w:rsidRDefault="00000000">
      <w:pPr>
        <w:keepNext/>
        <w:keepLines/>
        <w:numPr>
          <w:ilvl w:val="0"/>
          <w:numId w:val="3"/>
        </w:numPr>
        <w:spacing w:line="360" w:lineRule="auto"/>
        <w:ind w:left="0" w:firstLine="0"/>
        <w:outlineLvl w:val="2"/>
        <w:rPr>
          <w:rFonts w:ascii="仿宋" w:eastAsia="仿宋" w:hAnsi="仿宋" w:cs="仿宋"/>
          <w:kern w:val="0"/>
          <w:sz w:val="32"/>
          <w:szCs w:val="32"/>
          <w:shd w:val="clear" w:color="auto" w:fill="FFFFFF"/>
          <w:lang w:bidi="ar"/>
        </w:rPr>
      </w:pPr>
      <w:r>
        <w:rPr>
          <w:rFonts w:ascii="仿宋" w:eastAsia="仿宋" w:hAnsi="仿宋" w:cs="仿宋" w:hint="eastAsia"/>
          <w:kern w:val="0"/>
          <w:sz w:val="32"/>
          <w:szCs w:val="32"/>
          <w:shd w:val="clear" w:color="auto" w:fill="FFFFFF"/>
          <w:lang w:bidi="ar"/>
        </w:rPr>
        <w:t>报价要求：报价单需按存管费、转运费分类报价，转运费一次性收取。续签合同按实际发生额分别收取转运费和存管费。且存管费、转运费单价不超过第一年单价。</w:t>
      </w:r>
    </w:p>
    <w:p w14:paraId="0CE32E21" w14:textId="77777777" w:rsidR="00C33F1F" w:rsidRDefault="00000000">
      <w:pPr>
        <w:keepNext/>
        <w:keepLines/>
        <w:numPr>
          <w:ilvl w:val="0"/>
          <w:numId w:val="3"/>
        </w:numPr>
        <w:spacing w:line="360" w:lineRule="auto"/>
        <w:ind w:left="0" w:firstLine="0"/>
        <w:outlineLvl w:val="2"/>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其他要求</w:t>
      </w:r>
    </w:p>
    <w:p w14:paraId="3198A9D9" w14:textId="7D50B74F" w:rsidR="00C33F1F" w:rsidRDefault="00000000">
      <w:pPr>
        <w:spacing w:line="360" w:lineRule="auto"/>
        <w:ind w:firstLineChars="200" w:firstLine="640"/>
        <w:rPr>
          <w:rFonts w:ascii="仿宋" w:eastAsia="仿宋" w:hAnsi="仿宋" w:cs="仿宋"/>
          <w:color w:val="333333"/>
          <w:kern w:val="0"/>
          <w:sz w:val="32"/>
          <w:szCs w:val="32"/>
          <w:shd w:val="clear" w:color="auto" w:fill="FFFFFF"/>
          <w:lang w:bidi="ar"/>
        </w:rPr>
      </w:pPr>
      <w:r>
        <w:rPr>
          <w:rFonts w:ascii="仿宋" w:eastAsia="仿宋" w:hAnsi="仿宋" w:cs="仿宋" w:hint="eastAsia"/>
          <w:color w:val="333333"/>
          <w:kern w:val="0"/>
          <w:sz w:val="32"/>
          <w:szCs w:val="32"/>
          <w:shd w:val="clear" w:color="auto" w:fill="FFFFFF"/>
          <w:lang w:bidi="ar"/>
        </w:rPr>
        <w:t>1.服务期内（含质保期），如果因乙方原因造成甲方违反国家卫生行政管理部门或上级相关行政部门的规定被上</w:t>
      </w:r>
      <w:r>
        <w:rPr>
          <w:rFonts w:ascii="仿宋" w:eastAsia="仿宋" w:hAnsi="仿宋" w:cs="仿宋" w:hint="eastAsia"/>
          <w:color w:val="333333"/>
          <w:kern w:val="0"/>
          <w:sz w:val="32"/>
          <w:szCs w:val="32"/>
          <w:shd w:val="clear" w:color="auto" w:fill="FFFFFF"/>
          <w:lang w:bidi="ar"/>
        </w:rPr>
        <w:lastRenderedPageBreak/>
        <w:t>级部门约谈、通报及处罚等情况发生，甲方有权对乙方进行以下处理：（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48B8A626" w14:textId="278DBB6D" w:rsidR="00C33F1F" w:rsidRDefault="00000000">
      <w:pPr>
        <w:pStyle w:val="2"/>
        <w:ind w:firstLine="640"/>
        <w:rPr>
          <w:lang w:bidi="ar"/>
        </w:rPr>
      </w:pPr>
      <w:r>
        <w:rPr>
          <w:rFonts w:ascii="仿宋" w:eastAsia="仿宋" w:hAnsi="仿宋" w:cs="仿宋" w:hint="eastAsia"/>
          <w:color w:val="333333"/>
          <w:kern w:val="0"/>
          <w:sz w:val="32"/>
          <w:szCs w:val="32"/>
          <w:shd w:val="clear" w:color="auto" w:fill="FFFFFF"/>
          <w:lang w:bidi="ar"/>
        </w:rPr>
        <w:t>2.投标人每月3</w:t>
      </w:r>
      <w:r>
        <w:rPr>
          <w:rFonts w:ascii="仿宋" w:eastAsia="仿宋" w:hAnsi="仿宋" w:cs="仿宋"/>
          <w:color w:val="333333"/>
          <w:kern w:val="0"/>
          <w:sz w:val="32"/>
          <w:szCs w:val="32"/>
          <w:shd w:val="clear" w:color="auto" w:fill="FFFFFF"/>
          <w:lang w:bidi="ar"/>
        </w:rPr>
        <w:t>0</w:t>
      </w:r>
      <w:r>
        <w:rPr>
          <w:rFonts w:ascii="仿宋" w:eastAsia="仿宋" w:hAnsi="仿宋" w:cs="仿宋" w:hint="eastAsia"/>
          <w:color w:val="333333"/>
          <w:kern w:val="0"/>
          <w:sz w:val="32"/>
          <w:szCs w:val="32"/>
          <w:shd w:val="clear" w:color="auto" w:fill="FFFFFF"/>
          <w:lang w:bidi="ar"/>
        </w:rPr>
        <w:t>日前提供当月安全检查报告，并配合采购人进行定期检查。</w:t>
      </w:r>
    </w:p>
    <w:p w14:paraId="6ECAE21C" w14:textId="77777777" w:rsidR="00C33F1F" w:rsidRDefault="00000000">
      <w:pPr>
        <w:spacing w:line="60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四、评分标准</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567"/>
        <w:gridCol w:w="5811"/>
        <w:gridCol w:w="1053"/>
      </w:tblGrid>
      <w:tr w:rsidR="00C33F1F" w14:paraId="3A306187" w14:textId="77777777">
        <w:tc>
          <w:tcPr>
            <w:tcW w:w="534" w:type="dxa"/>
            <w:vAlign w:val="center"/>
          </w:tcPr>
          <w:p w14:paraId="785131FF" w14:textId="77777777" w:rsidR="00C33F1F" w:rsidRDefault="00000000">
            <w:pPr>
              <w:ind w:firstLine="28"/>
              <w:jc w:val="center"/>
              <w:rPr>
                <w:rFonts w:ascii="方正仿宋_GBK" w:eastAsia="方正仿宋_GBK" w:hAnsi="宋体"/>
                <w:b/>
                <w:szCs w:val="21"/>
              </w:rPr>
            </w:pPr>
            <w:r>
              <w:rPr>
                <w:rFonts w:ascii="方正仿宋_GBK" w:eastAsia="方正仿宋_GBK" w:hAnsi="宋体" w:hint="eastAsia"/>
                <w:b/>
                <w:szCs w:val="21"/>
              </w:rPr>
              <w:t>序号</w:t>
            </w:r>
          </w:p>
        </w:tc>
        <w:tc>
          <w:tcPr>
            <w:tcW w:w="1134" w:type="dxa"/>
            <w:vAlign w:val="center"/>
          </w:tcPr>
          <w:p w14:paraId="5DF7FE25" w14:textId="77777777" w:rsidR="00C33F1F" w:rsidRDefault="00000000">
            <w:pPr>
              <w:ind w:firstLine="28"/>
              <w:jc w:val="center"/>
              <w:rPr>
                <w:rFonts w:ascii="方正仿宋_GBK" w:eastAsia="方正仿宋_GBK" w:hAnsi="宋体"/>
                <w:b/>
                <w:szCs w:val="21"/>
              </w:rPr>
            </w:pPr>
            <w:r>
              <w:rPr>
                <w:rFonts w:ascii="方正仿宋_GBK" w:eastAsia="方正仿宋_GBK" w:hAnsi="宋体" w:hint="eastAsia"/>
                <w:b/>
                <w:szCs w:val="21"/>
              </w:rPr>
              <w:t>评分因素</w:t>
            </w:r>
          </w:p>
          <w:p w14:paraId="0DDDAAAF" w14:textId="77777777" w:rsidR="00C33F1F" w:rsidRDefault="00000000">
            <w:pPr>
              <w:ind w:firstLine="28"/>
              <w:jc w:val="center"/>
              <w:rPr>
                <w:rFonts w:ascii="方正仿宋_GBK" w:eastAsia="方正仿宋_GBK" w:hAnsi="宋体"/>
                <w:b/>
                <w:szCs w:val="21"/>
              </w:rPr>
            </w:pPr>
            <w:r>
              <w:rPr>
                <w:rFonts w:ascii="方正仿宋_GBK" w:eastAsia="方正仿宋_GBK" w:hAnsi="宋体" w:hint="eastAsia"/>
                <w:b/>
                <w:szCs w:val="21"/>
              </w:rPr>
              <w:t>及权重</w:t>
            </w:r>
          </w:p>
        </w:tc>
        <w:tc>
          <w:tcPr>
            <w:tcW w:w="567" w:type="dxa"/>
            <w:vAlign w:val="center"/>
          </w:tcPr>
          <w:p w14:paraId="0BE9BBDE" w14:textId="77777777" w:rsidR="00C33F1F" w:rsidRDefault="00000000">
            <w:pPr>
              <w:ind w:firstLine="28"/>
              <w:jc w:val="center"/>
              <w:rPr>
                <w:rFonts w:ascii="方正仿宋_GBK" w:eastAsia="方正仿宋_GBK" w:hAnsi="宋体"/>
                <w:b/>
                <w:szCs w:val="21"/>
              </w:rPr>
            </w:pPr>
            <w:r>
              <w:rPr>
                <w:rFonts w:ascii="方正仿宋_GBK" w:eastAsia="方正仿宋_GBK" w:hAnsi="宋体" w:hint="eastAsia"/>
                <w:b/>
                <w:szCs w:val="21"/>
              </w:rPr>
              <w:t>分值</w:t>
            </w:r>
          </w:p>
        </w:tc>
        <w:tc>
          <w:tcPr>
            <w:tcW w:w="5811" w:type="dxa"/>
            <w:vAlign w:val="center"/>
          </w:tcPr>
          <w:p w14:paraId="20D8E148" w14:textId="77777777" w:rsidR="00C33F1F" w:rsidRDefault="00000000">
            <w:pPr>
              <w:ind w:firstLine="28"/>
              <w:jc w:val="center"/>
              <w:rPr>
                <w:rFonts w:ascii="方正仿宋_GBK" w:eastAsia="方正仿宋_GBK" w:hAnsi="宋体"/>
                <w:b/>
                <w:szCs w:val="21"/>
              </w:rPr>
            </w:pPr>
            <w:r>
              <w:rPr>
                <w:rFonts w:ascii="方正仿宋_GBK" w:eastAsia="方正仿宋_GBK" w:hAnsi="宋体" w:hint="eastAsia"/>
                <w:b/>
                <w:szCs w:val="21"/>
              </w:rPr>
              <w:t>评分标准</w:t>
            </w:r>
          </w:p>
        </w:tc>
        <w:tc>
          <w:tcPr>
            <w:tcW w:w="1053" w:type="dxa"/>
            <w:vAlign w:val="center"/>
          </w:tcPr>
          <w:p w14:paraId="3B475263" w14:textId="77777777" w:rsidR="00C33F1F" w:rsidRDefault="00000000">
            <w:pPr>
              <w:pStyle w:val="ad"/>
              <w:spacing w:before="0" w:after="0" w:line="240" w:lineRule="auto"/>
              <w:rPr>
                <w:rFonts w:ascii="方正仿宋_GBK" w:eastAsia="方正仿宋_GBK" w:hAnsi="宋体"/>
                <w:szCs w:val="21"/>
              </w:rPr>
            </w:pPr>
            <w:r>
              <w:rPr>
                <w:rFonts w:ascii="方正仿宋_GBK" w:eastAsia="方正仿宋_GBK" w:hAnsi="宋体" w:hint="eastAsia"/>
                <w:szCs w:val="21"/>
              </w:rPr>
              <w:t>说明</w:t>
            </w:r>
          </w:p>
        </w:tc>
      </w:tr>
      <w:tr w:rsidR="00C33F1F" w14:paraId="6A956B85" w14:textId="77777777">
        <w:trPr>
          <w:trHeight w:val="1256"/>
        </w:trPr>
        <w:tc>
          <w:tcPr>
            <w:tcW w:w="534" w:type="dxa"/>
            <w:vAlign w:val="center"/>
          </w:tcPr>
          <w:p w14:paraId="6D1A4F68" w14:textId="77777777" w:rsidR="00C33F1F" w:rsidRDefault="00000000">
            <w:pPr>
              <w:pStyle w:val="TableParagraph"/>
              <w:adjustRightInd w:val="0"/>
              <w:snapToGrid w:val="0"/>
              <w:jc w:val="center"/>
              <w:rPr>
                <w:rFonts w:ascii="方正仿宋_GBK" w:eastAsia="方正仿宋_GBK"/>
                <w:sz w:val="21"/>
                <w:szCs w:val="21"/>
              </w:rPr>
            </w:pPr>
            <w:r>
              <w:rPr>
                <w:rFonts w:hint="eastAsia"/>
                <w:sz w:val="24"/>
                <w:szCs w:val="24"/>
              </w:rPr>
              <w:t>1</w:t>
            </w:r>
          </w:p>
        </w:tc>
        <w:tc>
          <w:tcPr>
            <w:tcW w:w="1134" w:type="dxa"/>
            <w:vAlign w:val="center"/>
          </w:tcPr>
          <w:p w14:paraId="2565410B" w14:textId="77777777" w:rsidR="00C33F1F" w:rsidRDefault="00000000">
            <w:pPr>
              <w:pStyle w:val="TableParagraph"/>
              <w:adjustRightInd w:val="0"/>
              <w:snapToGrid w:val="0"/>
              <w:ind w:right="95"/>
              <w:jc w:val="center"/>
              <w:rPr>
                <w:rFonts w:ascii="方正仿宋_GBK" w:eastAsia="方正仿宋_GBK"/>
                <w:sz w:val="21"/>
                <w:szCs w:val="21"/>
              </w:rPr>
            </w:pPr>
            <w:r>
              <w:rPr>
                <w:rFonts w:hint="eastAsia"/>
                <w:sz w:val="24"/>
                <w:szCs w:val="24"/>
              </w:rPr>
              <w:t>报价</w:t>
            </w:r>
            <w:r>
              <w:rPr>
                <w:rFonts w:hint="eastAsia"/>
                <w:sz w:val="24"/>
                <w:szCs w:val="24"/>
                <w:lang w:val="en-US" w:eastAsia="zh-CN"/>
              </w:rPr>
              <w:t>30%</w:t>
            </w:r>
          </w:p>
        </w:tc>
        <w:tc>
          <w:tcPr>
            <w:tcW w:w="567" w:type="dxa"/>
            <w:vAlign w:val="center"/>
          </w:tcPr>
          <w:p w14:paraId="387D0B01" w14:textId="77777777" w:rsidR="00C33F1F" w:rsidRDefault="00000000">
            <w:pPr>
              <w:pStyle w:val="TableParagraph"/>
              <w:adjustRightInd w:val="0"/>
              <w:snapToGrid w:val="0"/>
              <w:ind w:right="104"/>
              <w:jc w:val="center"/>
              <w:rPr>
                <w:rFonts w:ascii="方正仿宋_GBK" w:eastAsia="方正仿宋_GBK"/>
                <w:sz w:val="21"/>
                <w:szCs w:val="21"/>
              </w:rPr>
            </w:pPr>
            <w:r>
              <w:rPr>
                <w:rFonts w:hint="eastAsia"/>
                <w:sz w:val="24"/>
                <w:szCs w:val="24"/>
              </w:rPr>
              <w:t>30分</w:t>
            </w:r>
          </w:p>
        </w:tc>
        <w:tc>
          <w:tcPr>
            <w:tcW w:w="5811" w:type="dxa"/>
            <w:vAlign w:val="center"/>
          </w:tcPr>
          <w:p w14:paraId="301BEE32" w14:textId="77777777" w:rsidR="00C33F1F" w:rsidRDefault="00000000">
            <w:pPr>
              <w:pStyle w:val="a4"/>
              <w:rPr>
                <w:rFonts w:ascii="方正仿宋_GBK" w:eastAsia="方正仿宋_GBK"/>
                <w:sz w:val="21"/>
                <w:szCs w:val="21"/>
              </w:rPr>
            </w:pPr>
            <w:r>
              <w:rPr>
                <w:rFonts w:hAnsi="宋体" w:cs="宋体" w:hint="eastAsia"/>
                <w:sz w:val="24"/>
                <w:szCs w:val="24"/>
              </w:rPr>
              <w:t>满足采购文件要求且投标报价最低的有效投标报价为评标基准价，其报价分为满分。其他供应商的报价得分按以下公式计算：报价得分=(评标基准价／投标报价)×30%×100</w:t>
            </w:r>
          </w:p>
        </w:tc>
        <w:tc>
          <w:tcPr>
            <w:tcW w:w="1053" w:type="dxa"/>
            <w:vAlign w:val="center"/>
          </w:tcPr>
          <w:p w14:paraId="3A8DBCEC" w14:textId="77777777" w:rsidR="00C33F1F"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共同评审因素</w:t>
            </w:r>
          </w:p>
        </w:tc>
      </w:tr>
      <w:tr w:rsidR="00C33F1F" w14:paraId="58E84E2C" w14:textId="77777777">
        <w:tc>
          <w:tcPr>
            <w:tcW w:w="534" w:type="dxa"/>
            <w:vAlign w:val="center"/>
          </w:tcPr>
          <w:p w14:paraId="014AB998" w14:textId="77777777" w:rsidR="00C33F1F" w:rsidRDefault="00000000">
            <w:pPr>
              <w:pStyle w:val="TableParagraph"/>
              <w:adjustRightInd w:val="0"/>
              <w:snapToGrid w:val="0"/>
              <w:spacing w:before="174"/>
              <w:jc w:val="center"/>
              <w:rPr>
                <w:rFonts w:ascii="方正仿宋_GBK" w:eastAsia="方正仿宋_GBK"/>
                <w:sz w:val="21"/>
                <w:szCs w:val="21"/>
              </w:rPr>
            </w:pPr>
            <w:r>
              <w:rPr>
                <w:rFonts w:hint="eastAsia"/>
                <w:sz w:val="24"/>
                <w:szCs w:val="24"/>
              </w:rPr>
              <w:t>2</w:t>
            </w:r>
          </w:p>
        </w:tc>
        <w:tc>
          <w:tcPr>
            <w:tcW w:w="1134" w:type="dxa"/>
            <w:vAlign w:val="center"/>
          </w:tcPr>
          <w:p w14:paraId="2ABE9B64" w14:textId="77777777" w:rsidR="00C33F1F" w:rsidRDefault="00000000">
            <w:pPr>
              <w:pStyle w:val="TableParagraph"/>
              <w:adjustRightInd w:val="0"/>
              <w:snapToGrid w:val="0"/>
              <w:spacing w:before="195"/>
              <w:ind w:right="92"/>
              <w:jc w:val="center"/>
              <w:rPr>
                <w:rFonts w:ascii="方正仿宋_GBK" w:eastAsia="方正仿宋_GBK"/>
                <w:sz w:val="21"/>
                <w:szCs w:val="21"/>
              </w:rPr>
            </w:pPr>
            <w:r>
              <w:rPr>
                <w:rFonts w:hint="eastAsia"/>
                <w:sz w:val="24"/>
                <w:szCs w:val="24"/>
              </w:rPr>
              <w:t>技术</w:t>
            </w:r>
            <w:r>
              <w:rPr>
                <w:rFonts w:hint="eastAsia"/>
                <w:sz w:val="24"/>
                <w:szCs w:val="24"/>
                <w:lang w:val="en-US" w:eastAsia="zh-CN"/>
              </w:rPr>
              <w:t>服务</w:t>
            </w:r>
            <w:r>
              <w:rPr>
                <w:rFonts w:hint="eastAsia"/>
                <w:sz w:val="24"/>
                <w:szCs w:val="24"/>
              </w:rPr>
              <w:t>要求</w:t>
            </w:r>
            <w:r>
              <w:rPr>
                <w:rFonts w:hint="eastAsia"/>
                <w:sz w:val="24"/>
                <w:szCs w:val="24"/>
                <w:lang w:val="en-US" w:eastAsia="zh-CN"/>
              </w:rPr>
              <w:t>33%</w:t>
            </w:r>
          </w:p>
        </w:tc>
        <w:tc>
          <w:tcPr>
            <w:tcW w:w="567" w:type="dxa"/>
            <w:vAlign w:val="center"/>
          </w:tcPr>
          <w:p w14:paraId="6D5C1462" w14:textId="77777777" w:rsidR="00C33F1F" w:rsidRDefault="00000000">
            <w:pPr>
              <w:pStyle w:val="TableParagraph"/>
              <w:adjustRightInd w:val="0"/>
              <w:snapToGrid w:val="0"/>
              <w:spacing w:before="174"/>
              <w:ind w:right="104"/>
              <w:jc w:val="center"/>
              <w:rPr>
                <w:rFonts w:ascii="方正仿宋_GBK" w:eastAsia="方正仿宋_GBK"/>
                <w:sz w:val="21"/>
                <w:szCs w:val="21"/>
              </w:rPr>
            </w:pPr>
            <w:r>
              <w:rPr>
                <w:sz w:val="24"/>
                <w:szCs w:val="24"/>
                <w:lang w:val="en-US" w:eastAsia="zh-CN"/>
              </w:rPr>
              <w:t>33</w:t>
            </w:r>
            <w:r>
              <w:rPr>
                <w:rFonts w:hint="eastAsia"/>
                <w:sz w:val="24"/>
                <w:szCs w:val="24"/>
              </w:rPr>
              <w:t>分</w:t>
            </w:r>
          </w:p>
        </w:tc>
        <w:tc>
          <w:tcPr>
            <w:tcW w:w="5811" w:type="dxa"/>
            <w:vAlign w:val="center"/>
          </w:tcPr>
          <w:p w14:paraId="0086DCC5" w14:textId="00281EF1" w:rsidR="00C33F1F" w:rsidRDefault="00000000">
            <w:pPr>
              <w:pStyle w:val="ac"/>
              <w:widowControl/>
              <w:shd w:val="clear" w:color="auto" w:fill="FFFFFF"/>
              <w:spacing w:beforeAutospacing="0" w:after="240" w:afterAutospacing="0" w:line="351" w:lineRule="atLeast"/>
              <w:ind w:firstLine="480"/>
              <w:rPr>
                <w:rFonts w:ascii="方正仿宋_GBK" w:eastAsia="宋体"/>
                <w:sz w:val="21"/>
                <w:szCs w:val="21"/>
              </w:rPr>
            </w:pPr>
            <w:r>
              <w:rPr>
                <w:rFonts w:ascii="宋体" w:eastAsia="宋体" w:hAnsi="宋体" w:cs="宋体" w:hint="eastAsia"/>
                <w:szCs w:val="21"/>
              </w:rPr>
              <w:t>★为实质性条款，必须全部满足。▲为重要参数（共</w:t>
            </w:r>
            <w:r>
              <w:rPr>
                <w:rFonts w:eastAsia="宋体" w:cs="宋体" w:hint="eastAsia"/>
                <w:szCs w:val="21"/>
              </w:rPr>
              <w:t>12</w:t>
            </w:r>
            <w:r>
              <w:rPr>
                <w:rFonts w:ascii="宋体" w:eastAsia="宋体" w:hAnsi="宋体" w:cs="宋体" w:hint="eastAsia"/>
                <w:szCs w:val="21"/>
              </w:rPr>
              <w:t>条），</w:t>
            </w:r>
            <w:r>
              <w:rPr>
                <w:rFonts w:hint="eastAsia"/>
              </w:rPr>
              <w:t>完全符合得满分，</w:t>
            </w:r>
            <w:r>
              <w:rPr>
                <w:rFonts w:ascii="宋体" w:eastAsia="宋体" w:hAnsi="宋体" w:cs="宋体" w:hint="eastAsia"/>
                <w:szCs w:val="21"/>
              </w:rPr>
              <w:t>不满足或负偏离</w:t>
            </w:r>
            <w:r>
              <w:rPr>
                <w:rFonts w:eastAsia="宋体" w:cs="宋体" w:hint="eastAsia"/>
                <w:szCs w:val="21"/>
              </w:rPr>
              <w:t>一项</w:t>
            </w:r>
            <w:r>
              <w:rPr>
                <w:rFonts w:ascii="宋体" w:eastAsia="宋体" w:hAnsi="宋体" w:cs="宋体" w:hint="eastAsia"/>
                <w:szCs w:val="21"/>
              </w:rPr>
              <w:t>扣</w:t>
            </w:r>
            <w:r>
              <w:rPr>
                <w:rFonts w:eastAsia="宋体" w:cs="宋体" w:hint="eastAsia"/>
                <w:szCs w:val="21"/>
              </w:rPr>
              <w:t>2.5</w:t>
            </w:r>
            <w:r>
              <w:rPr>
                <w:rFonts w:ascii="宋体" w:eastAsia="宋体" w:hAnsi="宋体" w:cs="宋体" w:hint="eastAsia"/>
                <w:szCs w:val="21"/>
              </w:rPr>
              <w:t>分，扣完为止。一般条款共1项，</w:t>
            </w:r>
            <w:r w:rsidR="00E818A0">
              <w:rPr>
                <w:rFonts w:ascii="宋体" w:eastAsia="宋体" w:hAnsi="宋体" w:cs="宋体" w:hint="eastAsia"/>
                <w:szCs w:val="21"/>
              </w:rPr>
              <w:t>每</w:t>
            </w:r>
            <w:r>
              <w:rPr>
                <w:rFonts w:ascii="宋体" w:eastAsia="宋体" w:hAnsi="宋体" w:cs="宋体" w:hint="eastAsia"/>
                <w:szCs w:val="21"/>
              </w:rPr>
              <w:t>提供相关资格证书1项得1分，最高不超过3分。</w:t>
            </w:r>
          </w:p>
        </w:tc>
        <w:tc>
          <w:tcPr>
            <w:tcW w:w="1053" w:type="dxa"/>
            <w:vAlign w:val="center"/>
          </w:tcPr>
          <w:p w14:paraId="50D00F50" w14:textId="77777777" w:rsidR="00C33F1F" w:rsidRDefault="00000000">
            <w:pPr>
              <w:pStyle w:val="TableParagraph"/>
              <w:adjustRightInd w:val="0"/>
              <w:snapToGrid w:val="0"/>
              <w:spacing w:before="195"/>
              <w:ind w:right="79"/>
              <w:jc w:val="center"/>
              <w:rPr>
                <w:rFonts w:ascii="方正仿宋_GBK" w:eastAsia="方正仿宋_GBK"/>
                <w:sz w:val="21"/>
                <w:szCs w:val="21"/>
              </w:rPr>
            </w:pPr>
            <w:r>
              <w:rPr>
                <w:rFonts w:hint="eastAsia"/>
                <w:sz w:val="24"/>
                <w:szCs w:val="24"/>
              </w:rPr>
              <w:t>技术类评审因素</w:t>
            </w:r>
          </w:p>
        </w:tc>
      </w:tr>
      <w:tr w:rsidR="00C33F1F" w14:paraId="4B5030B6" w14:textId="77777777">
        <w:trPr>
          <w:trHeight w:val="4913"/>
        </w:trPr>
        <w:tc>
          <w:tcPr>
            <w:tcW w:w="534" w:type="dxa"/>
            <w:vAlign w:val="center"/>
          </w:tcPr>
          <w:p w14:paraId="630BD8AE" w14:textId="77777777" w:rsidR="00C33F1F" w:rsidRDefault="00000000">
            <w:pPr>
              <w:pStyle w:val="TableParagraph"/>
              <w:adjustRightInd w:val="0"/>
              <w:snapToGrid w:val="0"/>
              <w:spacing w:before="1"/>
              <w:jc w:val="center"/>
              <w:rPr>
                <w:rFonts w:ascii="方正仿宋_GBK" w:eastAsia="方正仿宋_GBK"/>
                <w:sz w:val="21"/>
                <w:szCs w:val="21"/>
              </w:rPr>
            </w:pPr>
            <w:r>
              <w:rPr>
                <w:rFonts w:hint="eastAsia"/>
                <w:sz w:val="24"/>
                <w:szCs w:val="24"/>
              </w:rPr>
              <w:lastRenderedPageBreak/>
              <w:t>3</w:t>
            </w:r>
          </w:p>
        </w:tc>
        <w:tc>
          <w:tcPr>
            <w:tcW w:w="1134" w:type="dxa"/>
            <w:vAlign w:val="center"/>
          </w:tcPr>
          <w:p w14:paraId="58847E3A" w14:textId="77777777" w:rsidR="00C33F1F" w:rsidRDefault="00000000">
            <w:pPr>
              <w:pStyle w:val="TableParagraph"/>
              <w:adjustRightInd w:val="0"/>
              <w:snapToGrid w:val="0"/>
              <w:spacing w:before="195"/>
              <w:ind w:right="92"/>
              <w:jc w:val="center"/>
              <w:rPr>
                <w:rFonts w:ascii="方正仿宋_GBK" w:eastAsia="方正仿宋_GBK"/>
                <w:sz w:val="21"/>
                <w:szCs w:val="21"/>
              </w:rPr>
            </w:pPr>
            <w:r>
              <w:rPr>
                <w:rFonts w:hint="eastAsia"/>
                <w:sz w:val="24"/>
                <w:szCs w:val="24"/>
                <w:lang w:val="en-US" w:eastAsia="zh-CN" w:bidi="ar-SA"/>
              </w:rPr>
              <w:t>项目实施方案</w:t>
            </w:r>
            <w:r>
              <w:rPr>
                <w:sz w:val="24"/>
                <w:szCs w:val="24"/>
                <w:lang w:val="en-US" w:eastAsia="zh-CN" w:bidi="ar-SA"/>
              </w:rPr>
              <w:t>2</w:t>
            </w:r>
            <w:r>
              <w:rPr>
                <w:rFonts w:hint="eastAsia"/>
                <w:sz w:val="24"/>
                <w:szCs w:val="24"/>
                <w:lang w:val="en-US" w:eastAsia="zh-CN" w:bidi="ar-SA"/>
              </w:rPr>
              <w:t>0%</w:t>
            </w:r>
          </w:p>
        </w:tc>
        <w:tc>
          <w:tcPr>
            <w:tcW w:w="567" w:type="dxa"/>
            <w:vAlign w:val="center"/>
          </w:tcPr>
          <w:p w14:paraId="6DEB49F0" w14:textId="77777777" w:rsidR="00C33F1F" w:rsidRDefault="00000000">
            <w:pPr>
              <w:pStyle w:val="TableParagraph"/>
              <w:adjustRightInd w:val="0"/>
              <w:snapToGrid w:val="0"/>
              <w:spacing w:before="1"/>
              <w:ind w:right="104"/>
              <w:jc w:val="center"/>
              <w:rPr>
                <w:rFonts w:ascii="方正仿宋_GBK" w:eastAsia="方正仿宋_GBK"/>
                <w:sz w:val="21"/>
                <w:szCs w:val="21"/>
              </w:rPr>
            </w:pPr>
            <w:r>
              <w:rPr>
                <w:sz w:val="24"/>
                <w:szCs w:val="24"/>
                <w:lang w:val="en-US" w:eastAsia="zh-CN" w:bidi="ar-SA"/>
              </w:rPr>
              <w:t>20</w:t>
            </w:r>
            <w:r>
              <w:rPr>
                <w:rFonts w:hint="eastAsia"/>
                <w:sz w:val="24"/>
                <w:szCs w:val="24"/>
                <w:lang w:val="en-US" w:eastAsia="zh-CN" w:bidi="ar-SA"/>
              </w:rPr>
              <w:t>分</w:t>
            </w:r>
          </w:p>
        </w:tc>
        <w:tc>
          <w:tcPr>
            <w:tcW w:w="5811" w:type="dxa"/>
            <w:vAlign w:val="center"/>
          </w:tcPr>
          <w:p w14:paraId="76807857" w14:textId="1E37AF9C" w:rsidR="00C33F1F" w:rsidRDefault="00000000">
            <w:pPr>
              <w:pStyle w:val="a4"/>
              <w:rPr>
                <w:rFonts w:hAnsi="宋体" w:cs="宋体"/>
                <w:sz w:val="24"/>
                <w:szCs w:val="24"/>
              </w:rPr>
            </w:pPr>
            <w:r>
              <w:rPr>
                <w:rFonts w:hAnsi="宋体" w:cs="宋体" w:hint="eastAsia"/>
                <w:sz w:val="24"/>
                <w:szCs w:val="24"/>
              </w:rPr>
              <w:t>根据</w:t>
            </w:r>
            <w:r w:rsidR="00E818A0">
              <w:rPr>
                <w:rFonts w:hAnsi="宋体" w:cs="宋体" w:hint="eastAsia"/>
                <w:sz w:val="24"/>
                <w:szCs w:val="24"/>
              </w:rPr>
              <w:t>投标人</w:t>
            </w:r>
            <w:r>
              <w:rPr>
                <w:rFonts w:hAnsi="宋体" w:cs="宋体" w:hint="eastAsia"/>
                <w:sz w:val="24"/>
                <w:szCs w:val="24"/>
              </w:rPr>
              <w:t>提供的项目方案进行评审，内容包括:①项目托管实施方案；②库房安保配置方案；③应急预案；④质量保证措施。</w:t>
            </w:r>
          </w:p>
          <w:p w14:paraId="3995A10F" w14:textId="77777777" w:rsidR="00C33F1F" w:rsidRDefault="00000000">
            <w:pPr>
              <w:pStyle w:val="a4"/>
              <w:rPr>
                <w:rFonts w:hAnsi="宋体" w:cs="宋体"/>
                <w:sz w:val="24"/>
                <w:szCs w:val="24"/>
              </w:rPr>
            </w:pPr>
            <w:r>
              <w:rPr>
                <w:rFonts w:hAnsi="宋体" w:cs="宋体" w:hint="eastAsia"/>
                <w:sz w:val="24"/>
                <w:szCs w:val="24"/>
              </w:rPr>
              <w:t>托管实施方案包含病案清点移交及打包装箱、病案转运及入库、病案存储及维护方案等。</w:t>
            </w:r>
          </w:p>
          <w:p w14:paraId="3C50953D" w14:textId="77777777" w:rsidR="00C33F1F" w:rsidRDefault="00000000">
            <w:pPr>
              <w:pStyle w:val="a4"/>
              <w:rPr>
                <w:rFonts w:hAnsi="宋体" w:cs="宋体"/>
                <w:sz w:val="24"/>
                <w:szCs w:val="24"/>
              </w:rPr>
            </w:pPr>
            <w:r>
              <w:rPr>
                <w:rFonts w:hAnsi="宋体" w:cs="宋体" w:hint="eastAsia"/>
                <w:sz w:val="24"/>
                <w:szCs w:val="24"/>
              </w:rPr>
              <w:t>库房安保配置方案包含安保措施、设备配置等。</w:t>
            </w:r>
          </w:p>
          <w:p w14:paraId="7A7A285D" w14:textId="77777777" w:rsidR="00C33F1F" w:rsidRDefault="00C33F1F">
            <w:pPr>
              <w:pStyle w:val="a4"/>
              <w:rPr>
                <w:rFonts w:hAnsi="宋体" w:cs="宋体"/>
                <w:sz w:val="24"/>
                <w:szCs w:val="24"/>
              </w:rPr>
            </w:pPr>
          </w:p>
          <w:p w14:paraId="3B6B6482" w14:textId="73419D22" w:rsidR="00C33F1F" w:rsidRDefault="00000000">
            <w:pPr>
              <w:pStyle w:val="a4"/>
              <w:rPr>
                <w:rFonts w:hAnsi="宋体" w:cs="宋体"/>
                <w:sz w:val="24"/>
                <w:szCs w:val="24"/>
                <w:lang w:bidi="ar"/>
              </w:rPr>
            </w:pPr>
            <w:r>
              <w:rPr>
                <w:rFonts w:hAnsi="宋体" w:cs="宋体" w:hint="eastAsia"/>
                <w:sz w:val="24"/>
                <w:szCs w:val="24"/>
                <w:lang w:bidi="ar"/>
              </w:rPr>
              <w:t>以上内容完整且满足本项目实际需求得满分。每有一项缺失的扣5分；每有一项存在错误或缺陷的扣2</w:t>
            </w:r>
            <w:r w:rsidR="00E818A0">
              <w:rPr>
                <w:rFonts w:hAnsi="宋体" w:cs="宋体" w:hint="eastAsia"/>
                <w:sz w:val="24"/>
                <w:szCs w:val="24"/>
                <w:lang w:bidi="ar"/>
              </w:rPr>
              <w:t>.5</w:t>
            </w:r>
            <w:r>
              <w:rPr>
                <w:rFonts w:hAnsi="宋体" w:cs="宋体" w:hint="eastAsia"/>
                <w:sz w:val="24"/>
                <w:szCs w:val="24"/>
                <w:lang w:bidi="ar"/>
              </w:rPr>
              <w:t>分，扣完为止。未提供的不得分。</w:t>
            </w:r>
          </w:p>
          <w:p w14:paraId="21FB9849" w14:textId="77777777" w:rsidR="00C33F1F" w:rsidRDefault="00000000">
            <w:pPr>
              <w:pStyle w:val="a4"/>
              <w:rPr>
                <w:rFonts w:ascii="方正仿宋_GBK" w:eastAsia="方正仿宋_GBK" w:hAnsi="宋体"/>
                <w:sz w:val="21"/>
                <w:szCs w:val="21"/>
              </w:rPr>
            </w:pPr>
            <w:r>
              <w:rPr>
                <w:rFonts w:hAnsi="宋体" w:cs="宋体" w:hint="eastAsia"/>
                <w:sz w:val="24"/>
                <w:szCs w:val="24"/>
                <w:lang w:bidi="ar"/>
              </w:rPr>
              <w:t>注：缺陷是指：项目名称错误，服务地点与本项目不一致；涉及的规范或标准与本项目要求不一致或不适用；描述有歧义或简略或逻辑有漏洞或夸大描述或前后矛盾或不完整；方案内容不满足本项目实际需求或与本项目无关的情形。</w:t>
            </w:r>
          </w:p>
        </w:tc>
        <w:tc>
          <w:tcPr>
            <w:tcW w:w="1053" w:type="dxa"/>
            <w:vAlign w:val="center"/>
          </w:tcPr>
          <w:p w14:paraId="4C0DDFD1" w14:textId="77777777" w:rsidR="00C33F1F"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技术类评审因素</w:t>
            </w:r>
          </w:p>
        </w:tc>
      </w:tr>
      <w:tr w:rsidR="00C33F1F" w14:paraId="6DC84EBD" w14:textId="77777777">
        <w:trPr>
          <w:trHeight w:val="3363"/>
        </w:trPr>
        <w:tc>
          <w:tcPr>
            <w:tcW w:w="534" w:type="dxa"/>
            <w:vAlign w:val="center"/>
          </w:tcPr>
          <w:p w14:paraId="5E69A383" w14:textId="77777777" w:rsidR="00C33F1F" w:rsidRDefault="00000000">
            <w:pPr>
              <w:pStyle w:val="TableParagraph"/>
              <w:adjustRightInd w:val="0"/>
              <w:snapToGrid w:val="0"/>
              <w:spacing w:before="1"/>
              <w:jc w:val="center"/>
              <w:rPr>
                <w:sz w:val="24"/>
                <w:szCs w:val="24"/>
              </w:rPr>
            </w:pPr>
            <w:r>
              <w:rPr>
                <w:rFonts w:hint="eastAsia"/>
                <w:sz w:val="24"/>
                <w:szCs w:val="24"/>
                <w:lang w:val="en-US" w:eastAsia="zh-CN"/>
              </w:rPr>
              <w:t>4</w:t>
            </w:r>
          </w:p>
        </w:tc>
        <w:tc>
          <w:tcPr>
            <w:tcW w:w="1134" w:type="dxa"/>
            <w:vAlign w:val="center"/>
          </w:tcPr>
          <w:p w14:paraId="15B2B9ED" w14:textId="77777777" w:rsidR="00C33F1F" w:rsidRDefault="00000000">
            <w:pPr>
              <w:pStyle w:val="TableParagraph"/>
              <w:adjustRightInd w:val="0"/>
              <w:snapToGrid w:val="0"/>
              <w:spacing w:before="195"/>
              <w:ind w:right="92"/>
              <w:jc w:val="center"/>
              <w:rPr>
                <w:sz w:val="24"/>
                <w:szCs w:val="24"/>
                <w:lang w:val="en-US" w:eastAsia="zh-CN" w:bidi="ar-SA"/>
              </w:rPr>
            </w:pPr>
            <w:r>
              <w:rPr>
                <w:rFonts w:hint="eastAsia"/>
                <w:sz w:val="24"/>
                <w:szCs w:val="24"/>
                <w:lang w:val="en-US" w:eastAsia="zh-CN" w:bidi="ar-SA"/>
              </w:rPr>
              <w:t>售后服务方案12%</w:t>
            </w:r>
          </w:p>
        </w:tc>
        <w:tc>
          <w:tcPr>
            <w:tcW w:w="567" w:type="dxa"/>
            <w:vAlign w:val="center"/>
          </w:tcPr>
          <w:p w14:paraId="04936AB4" w14:textId="77777777" w:rsidR="00C33F1F" w:rsidRDefault="00000000">
            <w:pPr>
              <w:pStyle w:val="TableParagraph"/>
              <w:adjustRightInd w:val="0"/>
              <w:snapToGrid w:val="0"/>
              <w:spacing w:before="1"/>
              <w:ind w:right="104"/>
              <w:jc w:val="center"/>
              <w:rPr>
                <w:sz w:val="24"/>
                <w:szCs w:val="24"/>
                <w:lang w:val="en-US" w:eastAsia="zh-CN" w:bidi="ar-SA"/>
              </w:rPr>
            </w:pPr>
            <w:r>
              <w:rPr>
                <w:rFonts w:hint="eastAsia"/>
                <w:sz w:val="24"/>
                <w:szCs w:val="24"/>
                <w:lang w:val="en-US" w:eastAsia="zh-CN" w:bidi="ar-SA"/>
              </w:rPr>
              <w:t>12分</w:t>
            </w:r>
          </w:p>
        </w:tc>
        <w:tc>
          <w:tcPr>
            <w:tcW w:w="5811" w:type="dxa"/>
            <w:vAlign w:val="center"/>
          </w:tcPr>
          <w:p w14:paraId="2671384F" w14:textId="5958C605" w:rsidR="00C33F1F" w:rsidRDefault="00000000">
            <w:pPr>
              <w:pStyle w:val="a4"/>
              <w:rPr>
                <w:rFonts w:hAnsi="宋体" w:cs="宋体"/>
                <w:sz w:val="24"/>
                <w:szCs w:val="24"/>
              </w:rPr>
            </w:pPr>
            <w:r>
              <w:rPr>
                <w:rFonts w:hAnsi="宋体" w:cs="宋体" w:hint="eastAsia"/>
                <w:sz w:val="24"/>
                <w:szCs w:val="24"/>
              </w:rPr>
              <w:t>根据</w:t>
            </w:r>
            <w:r w:rsidR="00E818A0">
              <w:rPr>
                <w:rFonts w:hAnsi="宋体" w:cs="宋体" w:hint="eastAsia"/>
                <w:sz w:val="24"/>
                <w:szCs w:val="24"/>
              </w:rPr>
              <w:t>投标人</w:t>
            </w:r>
            <w:r>
              <w:rPr>
                <w:rFonts w:hAnsi="宋体" w:cs="宋体" w:hint="eastAsia"/>
                <w:sz w:val="24"/>
                <w:szCs w:val="24"/>
              </w:rPr>
              <w:t>提供的售后方案进行评审，内容包括:①售后服务方案；②售后服务技术保障；③售后服务流程；</w:t>
            </w:r>
          </w:p>
          <w:p w14:paraId="6089FC06" w14:textId="77777777" w:rsidR="00C33F1F" w:rsidRDefault="00C33F1F">
            <w:pPr>
              <w:pStyle w:val="a4"/>
              <w:rPr>
                <w:rFonts w:hAnsi="宋体" w:cs="宋体"/>
                <w:sz w:val="24"/>
                <w:szCs w:val="24"/>
              </w:rPr>
            </w:pPr>
          </w:p>
          <w:p w14:paraId="28965D67" w14:textId="77777777" w:rsidR="00C33F1F" w:rsidRDefault="00000000">
            <w:pPr>
              <w:pStyle w:val="a4"/>
              <w:rPr>
                <w:rFonts w:hAnsi="宋体" w:cs="宋体"/>
                <w:sz w:val="24"/>
                <w:szCs w:val="24"/>
                <w:lang w:bidi="ar"/>
              </w:rPr>
            </w:pPr>
            <w:r>
              <w:rPr>
                <w:rFonts w:hAnsi="宋体" w:cs="宋体" w:hint="eastAsia"/>
                <w:sz w:val="24"/>
                <w:szCs w:val="24"/>
                <w:lang w:bidi="ar"/>
              </w:rPr>
              <w:t>以上内容完整且满足本项目实际需求得满分。每有一项缺失的扣4分；每有一项存在错误或缺陷的扣2分，扣完为止。未提供的不得分。</w:t>
            </w:r>
          </w:p>
          <w:p w14:paraId="2B8A0F7C" w14:textId="77777777" w:rsidR="00C33F1F" w:rsidRDefault="00000000">
            <w:pPr>
              <w:pStyle w:val="a4"/>
              <w:rPr>
                <w:rFonts w:hAnsi="宋体" w:cs="宋体"/>
                <w:sz w:val="24"/>
                <w:szCs w:val="24"/>
                <w:lang w:bidi="ar"/>
              </w:rPr>
            </w:pPr>
            <w:r>
              <w:rPr>
                <w:rFonts w:hAnsi="宋体" w:cs="宋体" w:hint="eastAsia"/>
                <w:sz w:val="24"/>
                <w:szCs w:val="24"/>
                <w:lang w:bidi="ar"/>
              </w:rPr>
              <w:t>注：缺陷是指：项目名称错误，服务地点与本项目不一致；涉及的规范或标准与本项目要求不一致或不适用；描述有歧义或简略或逻辑有漏洞或夸大描述或前后矛盾或不完整；方案内容不满足本项目实际需求或与本项目无关的情形。</w:t>
            </w:r>
          </w:p>
        </w:tc>
        <w:tc>
          <w:tcPr>
            <w:tcW w:w="1053" w:type="dxa"/>
            <w:vAlign w:val="center"/>
          </w:tcPr>
          <w:p w14:paraId="6A80E46E" w14:textId="77777777" w:rsidR="00C33F1F" w:rsidRDefault="00000000">
            <w:pPr>
              <w:pStyle w:val="TableParagraph"/>
              <w:adjustRightInd w:val="0"/>
              <w:snapToGrid w:val="0"/>
              <w:spacing w:before="1"/>
              <w:jc w:val="center"/>
              <w:rPr>
                <w:sz w:val="24"/>
                <w:szCs w:val="24"/>
              </w:rPr>
            </w:pPr>
            <w:r>
              <w:rPr>
                <w:rFonts w:hint="eastAsia"/>
                <w:sz w:val="24"/>
                <w:szCs w:val="24"/>
              </w:rPr>
              <w:t>技术类评审因素</w:t>
            </w:r>
          </w:p>
        </w:tc>
      </w:tr>
      <w:tr w:rsidR="00C33F1F" w14:paraId="276D90C9" w14:textId="77777777" w:rsidTr="00E75FB4">
        <w:trPr>
          <w:trHeight w:val="1980"/>
        </w:trPr>
        <w:tc>
          <w:tcPr>
            <w:tcW w:w="534" w:type="dxa"/>
            <w:vAlign w:val="center"/>
          </w:tcPr>
          <w:p w14:paraId="38818F63" w14:textId="77777777" w:rsidR="00C33F1F" w:rsidRDefault="00000000">
            <w:pPr>
              <w:pStyle w:val="TableParagraph"/>
              <w:adjustRightInd w:val="0"/>
              <w:snapToGrid w:val="0"/>
              <w:spacing w:before="1"/>
              <w:jc w:val="center"/>
              <w:rPr>
                <w:sz w:val="24"/>
                <w:szCs w:val="24"/>
                <w:lang w:val="en-US" w:eastAsia="zh-CN" w:bidi="ar-SA"/>
              </w:rPr>
            </w:pPr>
            <w:r>
              <w:rPr>
                <w:rFonts w:hint="eastAsia"/>
                <w:sz w:val="24"/>
                <w:szCs w:val="24"/>
                <w:lang w:val="en-US" w:eastAsia="zh-CN"/>
              </w:rPr>
              <w:t>5</w:t>
            </w:r>
          </w:p>
        </w:tc>
        <w:tc>
          <w:tcPr>
            <w:tcW w:w="1134" w:type="dxa"/>
            <w:vAlign w:val="center"/>
          </w:tcPr>
          <w:p w14:paraId="5D66A400" w14:textId="77777777" w:rsidR="00C33F1F" w:rsidRDefault="00000000">
            <w:pPr>
              <w:pStyle w:val="TableParagraph"/>
              <w:adjustRightInd w:val="0"/>
              <w:snapToGrid w:val="0"/>
              <w:spacing w:before="1"/>
              <w:jc w:val="center"/>
              <w:rPr>
                <w:sz w:val="24"/>
                <w:szCs w:val="24"/>
                <w:lang w:val="en-US" w:eastAsia="zh-CN" w:bidi="ar-SA"/>
              </w:rPr>
            </w:pPr>
            <w:r>
              <w:rPr>
                <w:rFonts w:hint="eastAsia"/>
                <w:sz w:val="24"/>
                <w:szCs w:val="24"/>
                <w:lang w:val="en-US" w:eastAsia="zh-CN" w:bidi="ar-SA"/>
              </w:rPr>
              <w:t>履约能力5%</w:t>
            </w:r>
          </w:p>
        </w:tc>
        <w:tc>
          <w:tcPr>
            <w:tcW w:w="567" w:type="dxa"/>
            <w:vAlign w:val="center"/>
          </w:tcPr>
          <w:p w14:paraId="45AE8870" w14:textId="77777777" w:rsidR="00C33F1F" w:rsidRDefault="00000000">
            <w:pPr>
              <w:pStyle w:val="TableParagraph"/>
              <w:adjustRightInd w:val="0"/>
              <w:snapToGrid w:val="0"/>
              <w:spacing w:before="1"/>
              <w:ind w:right="104"/>
              <w:jc w:val="center"/>
              <w:rPr>
                <w:sz w:val="24"/>
                <w:szCs w:val="24"/>
                <w:lang w:val="en-US" w:eastAsia="zh-CN" w:bidi="ar-SA"/>
              </w:rPr>
            </w:pPr>
            <w:r>
              <w:rPr>
                <w:rFonts w:hint="eastAsia"/>
                <w:sz w:val="24"/>
                <w:szCs w:val="24"/>
                <w:lang w:val="en-US" w:eastAsia="zh-CN" w:bidi="ar-SA"/>
              </w:rPr>
              <w:t>5分</w:t>
            </w:r>
          </w:p>
        </w:tc>
        <w:tc>
          <w:tcPr>
            <w:tcW w:w="5811" w:type="dxa"/>
            <w:vAlign w:val="center"/>
          </w:tcPr>
          <w:p w14:paraId="53B514DE" w14:textId="3DB18795" w:rsidR="00C33F1F" w:rsidRDefault="00E818A0">
            <w:pPr>
              <w:pStyle w:val="TableParagraph"/>
              <w:adjustRightInd w:val="0"/>
              <w:snapToGrid w:val="0"/>
              <w:rPr>
                <w:sz w:val="24"/>
                <w:szCs w:val="24"/>
                <w:lang w:val="en-US" w:eastAsia="zh-CN"/>
              </w:rPr>
            </w:pPr>
            <w:r>
              <w:rPr>
                <w:rFonts w:hint="eastAsia"/>
                <w:sz w:val="24"/>
                <w:szCs w:val="24"/>
                <w:lang w:val="en-US" w:eastAsia="zh-CN"/>
              </w:rPr>
              <w:t>投标人提供自2021年5月1日（含）至今（以合同签订日期为准）的本地化类似项目业绩</w:t>
            </w:r>
            <w:r>
              <w:rPr>
                <w:rFonts w:hint="eastAsia"/>
                <w:sz w:val="24"/>
                <w:szCs w:val="24"/>
              </w:rPr>
              <w:t>，每有一个得</w:t>
            </w:r>
            <w:r>
              <w:rPr>
                <w:rFonts w:hint="eastAsia"/>
                <w:sz w:val="24"/>
                <w:szCs w:val="24"/>
                <w:lang w:val="en-US" w:eastAsia="zh-CN"/>
              </w:rPr>
              <w:t>2.5</w:t>
            </w:r>
            <w:r>
              <w:rPr>
                <w:rFonts w:hint="eastAsia"/>
                <w:sz w:val="24"/>
                <w:szCs w:val="24"/>
              </w:rPr>
              <w:t>分，最多得</w:t>
            </w:r>
            <w:r>
              <w:rPr>
                <w:rFonts w:hint="eastAsia"/>
                <w:sz w:val="24"/>
                <w:szCs w:val="24"/>
                <w:lang w:val="en-US" w:eastAsia="zh-CN"/>
              </w:rPr>
              <w:t>5</w:t>
            </w:r>
            <w:r>
              <w:rPr>
                <w:rFonts w:hint="eastAsia"/>
                <w:sz w:val="24"/>
                <w:szCs w:val="24"/>
              </w:rPr>
              <w:t>分。</w:t>
            </w:r>
            <w:r>
              <w:rPr>
                <w:rFonts w:hint="eastAsia"/>
                <w:sz w:val="24"/>
                <w:szCs w:val="24"/>
                <w:lang w:eastAsia="zh-CN"/>
              </w:rPr>
              <w:t>（</w:t>
            </w:r>
            <w:r>
              <w:rPr>
                <w:rFonts w:hint="eastAsia"/>
                <w:sz w:val="24"/>
                <w:szCs w:val="24"/>
              </w:rPr>
              <w:t>注：需提供合同复印件加盖</w:t>
            </w:r>
            <w:r>
              <w:rPr>
                <w:rFonts w:hint="eastAsia"/>
                <w:sz w:val="24"/>
                <w:szCs w:val="24"/>
                <w:lang w:val="en-US" w:eastAsia="zh-CN"/>
              </w:rPr>
              <w:t>投标人</w:t>
            </w:r>
            <w:r>
              <w:rPr>
                <w:rFonts w:hint="eastAsia"/>
                <w:sz w:val="24"/>
                <w:szCs w:val="24"/>
              </w:rPr>
              <w:t>公章，不提供不得分</w:t>
            </w:r>
            <w:r>
              <w:rPr>
                <w:rFonts w:hint="eastAsia"/>
                <w:sz w:val="24"/>
                <w:szCs w:val="24"/>
                <w:lang w:eastAsia="zh-CN"/>
              </w:rPr>
              <w:t>）</w:t>
            </w:r>
          </w:p>
        </w:tc>
        <w:tc>
          <w:tcPr>
            <w:tcW w:w="1053" w:type="dxa"/>
            <w:vAlign w:val="center"/>
          </w:tcPr>
          <w:p w14:paraId="64EE5CDE" w14:textId="77777777" w:rsidR="00C33F1F" w:rsidRDefault="00000000">
            <w:pPr>
              <w:pStyle w:val="TableParagraph"/>
              <w:adjustRightInd w:val="0"/>
              <w:snapToGrid w:val="0"/>
              <w:spacing w:before="152"/>
              <w:ind w:right="96"/>
              <w:jc w:val="center"/>
              <w:rPr>
                <w:sz w:val="24"/>
                <w:szCs w:val="24"/>
                <w:lang w:val="en-US" w:eastAsia="zh-CN" w:bidi="ar-SA"/>
              </w:rPr>
            </w:pPr>
            <w:r>
              <w:rPr>
                <w:rFonts w:hint="eastAsia"/>
                <w:sz w:val="24"/>
                <w:szCs w:val="24"/>
              </w:rPr>
              <w:t>共同评审因素</w:t>
            </w:r>
          </w:p>
        </w:tc>
      </w:tr>
    </w:tbl>
    <w:p w14:paraId="31582438" w14:textId="77777777" w:rsidR="00C33F1F" w:rsidRDefault="00C33F1F">
      <w:pPr>
        <w:pStyle w:val="ac"/>
        <w:widowControl/>
        <w:shd w:val="clear" w:color="auto" w:fill="FFFFFF"/>
        <w:spacing w:beforeAutospacing="0" w:after="240" w:afterAutospacing="0" w:line="351" w:lineRule="atLeast"/>
        <w:ind w:firstLine="480"/>
        <w:rPr>
          <w:rFonts w:ascii="仿宋" w:eastAsia="仿宋" w:hAnsi="仿宋" w:cs="仿宋"/>
          <w:color w:val="FF0000"/>
          <w:sz w:val="32"/>
          <w:szCs w:val="32"/>
          <w:shd w:val="clear" w:color="auto" w:fill="FFFFFF"/>
        </w:rPr>
      </w:pPr>
    </w:p>
    <w:sectPr w:rsidR="00C33F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5BB04" w14:textId="77777777" w:rsidR="00B31900" w:rsidRDefault="00B31900" w:rsidP="00E75FB4">
      <w:r>
        <w:separator/>
      </w:r>
    </w:p>
  </w:endnote>
  <w:endnote w:type="continuationSeparator" w:id="0">
    <w:p w14:paraId="2C469111" w14:textId="77777777" w:rsidR="00B31900" w:rsidRDefault="00B31900" w:rsidP="00E7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C26D9" w14:textId="77777777" w:rsidR="00B31900" w:rsidRDefault="00B31900" w:rsidP="00E75FB4">
      <w:r>
        <w:separator/>
      </w:r>
    </w:p>
  </w:footnote>
  <w:footnote w:type="continuationSeparator" w:id="0">
    <w:p w14:paraId="0396D583" w14:textId="77777777" w:rsidR="00B31900" w:rsidRDefault="00B31900" w:rsidP="00E75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08C0DE7"/>
    <w:multiLevelType w:val="multilevel"/>
    <w:tmpl w:val="108C0DE7"/>
    <w:lvl w:ilvl="0">
      <w:start w:val="3"/>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2" w15:restartNumberingAfterBreak="0">
    <w:nsid w:val="2A845254"/>
    <w:multiLevelType w:val="multilevel"/>
    <w:tmpl w:val="2A84525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10098329">
    <w:abstractNumId w:val="0"/>
  </w:num>
  <w:num w:numId="2" w16cid:durableId="1962881888">
    <w:abstractNumId w:val="1"/>
  </w:num>
  <w:num w:numId="3" w16cid:durableId="118767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0A610F"/>
    <w:rsid w:val="00082D7E"/>
    <w:rsid w:val="00251080"/>
    <w:rsid w:val="00390C0D"/>
    <w:rsid w:val="003F51EC"/>
    <w:rsid w:val="0043717B"/>
    <w:rsid w:val="004446DB"/>
    <w:rsid w:val="00455013"/>
    <w:rsid w:val="004D4D91"/>
    <w:rsid w:val="00557705"/>
    <w:rsid w:val="005620A5"/>
    <w:rsid w:val="0056355D"/>
    <w:rsid w:val="00610453"/>
    <w:rsid w:val="006947E3"/>
    <w:rsid w:val="008340A3"/>
    <w:rsid w:val="008C6CD4"/>
    <w:rsid w:val="00927BD5"/>
    <w:rsid w:val="009D5D5D"/>
    <w:rsid w:val="00A024BF"/>
    <w:rsid w:val="00A967CA"/>
    <w:rsid w:val="00AA682F"/>
    <w:rsid w:val="00B31900"/>
    <w:rsid w:val="00B31F68"/>
    <w:rsid w:val="00B82421"/>
    <w:rsid w:val="00C33F1F"/>
    <w:rsid w:val="00D73C73"/>
    <w:rsid w:val="00E134E5"/>
    <w:rsid w:val="00E334CD"/>
    <w:rsid w:val="00E46E98"/>
    <w:rsid w:val="00E75FB4"/>
    <w:rsid w:val="00E818A0"/>
    <w:rsid w:val="00E9671C"/>
    <w:rsid w:val="00EE1665"/>
    <w:rsid w:val="00F30DCC"/>
    <w:rsid w:val="01FA3E98"/>
    <w:rsid w:val="03E8271C"/>
    <w:rsid w:val="06D67C4E"/>
    <w:rsid w:val="07635CC7"/>
    <w:rsid w:val="08212433"/>
    <w:rsid w:val="08BE184B"/>
    <w:rsid w:val="0B921469"/>
    <w:rsid w:val="0BB3727F"/>
    <w:rsid w:val="0BD70E6E"/>
    <w:rsid w:val="13846129"/>
    <w:rsid w:val="202C4D63"/>
    <w:rsid w:val="204B0754"/>
    <w:rsid w:val="20980365"/>
    <w:rsid w:val="275E2753"/>
    <w:rsid w:val="281D3DAD"/>
    <w:rsid w:val="29AF465F"/>
    <w:rsid w:val="29DC1637"/>
    <w:rsid w:val="2A073667"/>
    <w:rsid w:val="2CD64578"/>
    <w:rsid w:val="2E2F4F14"/>
    <w:rsid w:val="333708D2"/>
    <w:rsid w:val="33B84A58"/>
    <w:rsid w:val="36806B41"/>
    <w:rsid w:val="369F3295"/>
    <w:rsid w:val="370A610F"/>
    <w:rsid w:val="372A42BE"/>
    <w:rsid w:val="39FD4CC8"/>
    <w:rsid w:val="3CA22AD6"/>
    <w:rsid w:val="43F72173"/>
    <w:rsid w:val="45761A95"/>
    <w:rsid w:val="46C34AF5"/>
    <w:rsid w:val="4BA778C0"/>
    <w:rsid w:val="4BA930B0"/>
    <w:rsid w:val="4D813B83"/>
    <w:rsid w:val="51145DD6"/>
    <w:rsid w:val="539F0C8E"/>
    <w:rsid w:val="58F67029"/>
    <w:rsid w:val="65174AC2"/>
    <w:rsid w:val="66B96ECF"/>
    <w:rsid w:val="68CD0214"/>
    <w:rsid w:val="71F962D3"/>
    <w:rsid w:val="76572983"/>
    <w:rsid w:val="79CD3126"/>
    <w:rsid w:val="7B955030"/>
    <w:rsid w:val="7C141DDA"/>
    <w:rsid w:val="7CB47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277654"/>
  <w15:docId w15:val="{45B5299B-9A59-4CDA-8D98-E5B78D97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0">
    <w:name w:val="heading 2"/>
    <w:basedOn w:val="a"/>
    <w:next w:val="a"/>
    <w:link w:val="21"/>
    <w:qFormat/>
    <w:pPr>
      <w:keepNext/>
      <w:keepLines/>
      <w:spacing w:before="260" w:after="260" w:line="440" w:lineRule="exact"/>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annotation text"/>
    <w:basedOn w:val="a"/>
    <w:qFormat/>
    <w:rPr>
      <w:rFonts w:ascii="宋体" w:hAnsi="Times New Roman"/>
      <w:sz w:val="34"/>
      <w:szCs w:val="20"/>
    </w:rPr>
  </w:style>
  <w:style w:type="paragraph" w:styleId="a5">
    <w:name w:val="Body Text"/>
    <w:basedOn w:val="a"/>
    <w:next w:val="a"/>
    <w:uiPriority w:val="99"/>
    <w:unhideWhenUsed/>
    <w:qFormat/>
    <w:pPr>
      <w:spacing w:after="120"/>
    </w:p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pPr>
      <w:tabs>
        <w:tab w:val="center" w:pos="4153"/>
        <w:tab w:val="right" w:pos="8306"/>
      </w:tabs>
      <w:snapToGrid w:val="0"/>
      <w:jc w:val="center"/>
    </w:pPr>
    <w:rPr>
      <w:sz w:val="18"/>
      <w:szCs w:val="18"/>
    </w:rPr>
  </w:style>
  <w:style w:type="paragraph" w:styleId="aa">
    <w:name w:val="footnote text"/>
    <w:basedOn w:val="a"/>
    <w:link w:val="ab"/>
    <w:qFormat/>
    <w:pPr>
      <w:snapToGrid w:val="0"/>
      <w:jc w:val="left"/>
    </w:pPr>
    <w:rPr>
      <w:sz w:val="18"/>
    </w:rPr>
  </w:style>
  <w:style w:type="paragraph" w:styleId="ac">
    <w:name w:val="Normal (Web)"/>
    <w:basedOn w:val="a"/>
    <w:qFormat/>
    <w:pPr>
      <w:spacing w:beforeAutospacing="1" w:afterAutospacing="1"/>
      <w:jc w:val="left"/>
    </w:pPr>
    <w:rPr>
      <w:rFonts w:cs="Times New Roman"/>
      <w:kern w:val="0"/>
      <w:sz w:val="24"/>
    </w:rPr>
  </w:style>
  <w:style w:type="paragraph" w:customStyle="1" w:styleId="ad">
    <w:name w:val="图例"/>
    <w:basedOn w:val="a"/>
    <w:qFormat/>
    <w:pPr>
      <w:spacing w:before="120" w:after="120" w:line="360" w:lineRule="auto"/>
      <w:jc w:val="center"/>
    </w:pPr>
    <w:rPr>
      <w:rFonts w:eastAsia="仿宋_GB2312"/>
      <w:b/>
    </w:rPr>
  </w:style>
  <w:style w:type="paragraph" w:customStyle="1" w:styleId="TableParagraph">
    <w:name w:val="Table Paragraph"/>
    <w:basedOn w:val="a"/>
    <w:uiPriority w:val="1"/>
    <w:qFormat/>
    <w:rPr>
      <w:rFonts w:ascii="宋体" w:hAnsi="宋体" w:cs="宋体"/>
      <w:sz w:val="34"/>
      <w:szCs w:val="20"/>
      <w:lang w:val="nl-NL" w:eastAsia="nl-NL" w:bidi="nl-NL"/>
    </w:rPr>
  </w:style>
  <w:style w:type="character" w:customStyle="1" w:styleId="21">
    <w:name w:val="标题 2 字符"/>
    <w:basedOn w:val="a0"/>
    <w:link w:val="20"/>
    <w:rPr>
      <w:rFonts w:ascii="Arial" w:eastAsiaTheme="minorEastAsia" w:hAnsi="Arial" w:cstheme="minorBidi"/>
      <w:b/>
      <w:bCs/>
      <w:kern w:val="2"/>
      <w:sz w:val="24"/>
      <w:szCs w:val="32"/>
    </w:rPr>
  </w:style>
  <w:style w:type="character" w:customStyle="1" w:styleId="ab">
    <w:name w:val="脚注文本 字符"/>
    <w:basedOn w:val="a0"/>
    <w:link w:val="aa"/>
    <w:rPr>
      <w:rFonts w:asciiTheme="minorHAnsi" w:eastAsiaTheme="minorEastAsia" w:hAnsiTheme="minorHAnsi" w:cstheme="minorBidi"/>
      <w:kern w:val="2"/>
      <w:sz w:val="18"/>
      <w:szCs w:val="24"/>
    </w:rPr>
  </w:style>
  <w:style w:type="paragraph" w:styleId="ae">
    <w:name w:val="List Paragraph"/>
    <w:basedOn w:val="a"/>
    <w:uiPriority w:val="99"/>
    <w:qFormat/>
    <w:pPr>
      <w:ind w:firstLineChars="200" w:firstLine="420"/>
    </w:pPr>
  </w:style>
  <w:style w:type="character" w:customStyle="1" w:styleId="a9">
    <w:name w:val="页眉 字符"/>
    <w:basedOn w:val="a0"/>
    <w:link w:val="a8"/>
    <w:rPr>
      <w:rFonts w:asciiTheme="minorHAnsi" w:eastAsiaTheme="minorEastAsia" w:hAnsiTheme="minorHAnsi" w:cstheme="minorBidi"/>
      <w:kern w:val="2"/>
      <w:sz w:val="18"/>
      <w:szCs w:val="18"/>
    </w:rPr>
  </w:style>
  <w:style w:type="character" w:customStyle="1" w:styleId="a7">
    <w:name w:val="页脚 字符"/>
    <w:basedOn w:val="a0"/>
    <w:link w:val="a6"/>
    <w:rPr>
      <w:rFonts w:asciiTheme="minorHAnsi" w:eastAsiaTheme="minorEastAsia" w:hAnsiTheme="minorHAnsi" w:cstheme="minorBidi"/>
      <w:kern w:val="2"/>
      <w:sz w:val="18"/>
      <w:szCs w:val="18"/>
    </w:rPr>
  </w:style>
  <w:style w:type="paragraph" w:styleId="af">
    <w:name w:val="Revision"/>
    <w:hidden/>
    <w:uiPriority w:val="99"/>
    <w:unhideWhenUsed/>
    <w:rsid w:val="00E818A0"/>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刘敬涛</dc:creator>
  <cp:lastModifiedBy>子 欢</cp:lastModifiedBy>
  <cp:revision>3</cp:revision>
  <dcterms:created xsi:type="dcterms:W3CDTF">2024-06-20T01:34:00Z</dcterms:created>
  <dcterms:modified xsi:type="dcterms:W3CDTF">2024-06-24T07:12:00Z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