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sz w:val="28"/>
          <w:szCs w:val="28"/>
          <w:lang w:eastAsia="zh-CN"/>
        </w:rPr>
      </w:pPr>
      <w:bookmarkStart w:id="0" w:name="_GoBack"/>
      <w:bookmarkEnd w:id="0"/>
      <w:r>
        <w:rPr>
          <w:rFonts w:hint="eastAsia" w:ascii="仿宋" w:hAnsi="仿宋" w:eastAsia="仿宋"/>
          <w:sz w:val="28"/>
          <w:szCs w:val="28"/>
          <w:lang w:eastAsia="zh-CN"/>
        </w:rPr>
        <w:t>附件1：参选机构资质要求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通过规范引入具备资质的合作机构，由合作机构负责自动售货机及产品的投放和管理，为院方提供卫生耗材（卫生耗材限一二类耗材）、生活类用品、食品饮料等产品服务；院方负责确定售卖品种和质控，以更好地满足患者就医需求,提升就医体验。</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1.营业执照（经有效年检，副本复印件）、税务证（国、地税副本复印件）、组织机构代码证（经有效年检，副本复印件）或提供三证合一的营业执照（经有效年检，副本复印件）；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2.参选机构如为国内制造商，须提供《中华人民共和国医疗器械生产许可证》及医疗器械经营备案凭证（复印件）；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3.参选机构如为国内代理商，须提供《中华人民共和国医疗器械经营许可证》或医疗器械经营备案凭证（复印件）；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4.食品经营许可证（复印件）；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5.授权委托书（原件，格式见附件6）,法定代表人和授权代表有效的身份证复印件；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6.近三年内，参选机构无重大行贿犯罪记录，无重大负面新闻（提供承诺函原件）；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7.近三年内，参选机构未在经营活动中因违法行为（包括消防安全等问题）受到刑事处罚、处以罚款或者没收财产5万元以上、责令停产停业、吊销许可证或者执照等行政处罚（提供承诺函原件）；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8.反商业贿赂承诺书（附件7）；</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9.参选机构遵守遴选纪律承诺书（提供承诺函原件，附件8）；</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10.本次遴选活动不接受联合体投标。</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注：①6—10均提供承诺函原件并加盖鲜章；</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②参选机构应按遴选公告的规定和要求附上所有的资格证明文件，要求提供复印件的必须加盖单位印章，并在必要时提供原件备查。若提供的资格证明文件不全或不实，将导致其合作资格被取消。</w:t>
      </w:r>
    </w:p>
    <w:p>
      <w:pPr>
        <w:numPr>
          <w:ilvl w:val="0"/>
          <w:numId w:val="0"/>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（一）自动售货机基本要求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★1.自动售货机整体外观优美、大方，操作方便，参选机构可根据医院实际需求定制自动售货机，以满足不同大小产品的销售（提供拟投放设备参数信息）。</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2.自动售货机支持手机扫码支付（微信、支付宝），付款方式安全、便捷；须具备自动退款功能，遇上出货不成功，可原路返还消费者的支付款。</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3.参选机构不得在设备或者操作界面上作任何超出服务范围的广告宣传，不得在终端消费者支付时，将电子支付界面跳转到广告界面、引流界面或者会促使、引诱、误导消费者正常支付的操作界面。</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（二）产品品种及基本要求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4.产品品种：</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根据医院、科室、患者需求，提供卫生耗材（卫生耗材限一二类耗材）、生活类用品、食品饮料等产品服务。</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所售产品的质量和安全必须符合国家相关要求，且所有产品必须在保质期内销售。卫生耗材（卫生耗材限一二类耗材）产品价格不得超过院方现有品种的价格和四川省药品和医用耗材招采管理系统最低挂网价格；院方没有且不需要挂网的品种，价格不得超过市场同类产品平均售价。生活类及食品饮料类产品不得高于同一产品在其他主要销售平台或渠道（包括但不限于京东自营、淘宝天猫旗舰店等互联网电商平台）的零售价（电商平台促销价格除外）。（提供承诺函原件）</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须保证自动售货机中售卖产品的质量，保证所售产品均须具备相关资质或产品合格证明(可提供随时供查验的相关合格证照等资料)，符合国家、行业的全部相关标准以及医院的要求。若售卖的产品不符合国家相关法规或标准，给医院、患者或其他第三方造成人身损害或财产损失的，全部责任(包括但不限于一切经济及法律责任)均由参选机构承担。</w:t>
      </w:r>
    </w:p>
    <w:p>
      <w:pPr>
        <w:numPr>
          <w:ilvl w:val="0"/>
          <w:numId w:val="1"/>
        </w:num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参选机构应全权负责与自动售货机有关的运营，保证其经营的合法性，根据服务要求参选机构须派驻至少2名工作人员负责自动售货机的日常运营、维护及销售产品的售后服务，确保设备正常使用，货物充足。接产品缺货反馈信息后，早8点到晚8点，晋阳院区1小时内补足，天府院区2小时内补足；其余时间段内4小时内补足。（提供相关证明材料）</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8.参选机构需设立自动售货机24小时客服热线，提供24小时服务(包括但不限于消费者投诉、设备维修、缺货反馈)。设备维修和售后服务响应时间不得超过4小时。参选机构负责自动售货机的安全巡检。</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★9.参选机构须满足医院对自动售货机的数量调整以及升级需求，包括但不限于自动售货机内销售的产品种类的调整、增减自动售货机数量、更改自动售货机投放场地等</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10.医院有权对自动售货机经营状况、服务质量、所售产品价格等情况进行监督、检查与指导。</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注：以上10项均提供承诺函原件或证明材料复印件并加盖鲜章。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四川省妇幼保健院晋阳院区（地址：成都市武侯区沙堰西二街290号）。</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四川省妇幼保健院天府院区（地址：成都市双流区岐黄二路1515号）。</w:t>
      </w:r>
    </w:p>
    <w:p>
      <w:pPr>
        <w:spacing w:line="360" w:lineRule="auto"/>
        <w:ind w:firstLine="560" w:firstLineChars="200"/>
        <w:jc w:val="both"/>
        <w:rPr>
          <w:rFonts w:hint="eastAsia" w:ascii="仿宋" w:hAnsi="仿宋" w:eastAsia="仿宋"/>
          <w:sz w:val="28"/>
          <w:szCs w:val="28"/>
          <w:highlight w:val="none"/>
          <w:lang w:val="en-US" w:eastAsia="zh-CN"/>
        </w:rPr>
      </w:pPr>
    </w:p>
    <w:p>
      <w:pPr>
        <w:spacing w:line="360" w:lineRule="auto"/>
        <w:ind w:firstLine="560" w:firstLineChars="200"/>
        <w:jc w:val="both"/>
        <w:rPr>
          <w:rFonts w:hint="eastAsia" w:ascii="仿宋" w:hAnsi="仿宋" w:eastAsia="仿宋"/>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hint="eastAsia" w:ascii="仿宋" w:hAnsi="仿宋" w:eastAsia="仿宋" w:cs="仿宋"/>
          <w:color w:val="000000"/>
          <w:sz w:val="28"/>
        </w:rPr>
        <w:t>至少需包括(不限于)以下内容</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1.</w:t>
      </w:r>
      <w:r>
        <w:rPr>
          <w:rFonts w:hint="eastAsia" w:ascii="仿宋" w:hAnsi="仿宋" w:eastAsia="仿宋" w:cs="仿宋"/>
          <w:color w:val="000000"/>
          <w:sz w:val="28"/>
        </w:rPr>
        <w:t>满足医院合作模式,提供完整运行流程及质量控制流程</w:t>
      </w:r>
      <w:r>
        <w:rPr>
          <w:rFonts w:hint="eastAsia" w:ascii="仿宋" w:hAnsi="仿宋" w:eastAsia="仿宋" w:cs="仿宋"/>
          <w:color w:val="000000"/>
          <w:sz w:val="28"/>
          <w:lang w:eastAsia="zh-CN"/>
        </w:rPr>
        <w:t>。</w:t>
      </w:r>
    </w:p>
    <w:p>
      <w:pPr>
        <w:ind w:firstLine="560" w:firstLineChars="200"/>
        <w:rPr>
          <w:rFonts w:ascii="仿宋" w:hAnsi="仿宋" w:eastAsia="仿宋" w:cs="仿宋"/>
          <w:color w:val="000000"/>
          <w:sz w:val="28"/>
        </w:rPr>
      </w:pPr>
      <w:r>
        <w:rPr>
          <w:rFonts w:hint="eastAsia" w:ascii="仿宋" w:hAnsi="仿宋" w:eastAsia="仿宋" w:cs="仿宋"/>
          <w:color w:val="000000"/>
          <w:sz w:val="28"/>
          <w:lang w:val="en-US" w:eastAsia="zh-CN"/>
        </w:rPr>
        <w:t>2</w:t>
      </w:r>
      <w:r>
        <w:rPr>
          <w:rFonts w:hint="eastAsia" w:ascii="仿宋" w:hAnsi="仿宋" w:eastAsia="仿宋" w:cs="仿宋"/>
          <w:color w:val="000000"/>
          <w:sz w:val="28"/>
        </w:rPr>
        <w:t>.</w:t>
      </w:r>
      <w:r>
        <w:rPr>
          <w:rFonts w:ascii="仿宋" w:hAnsi="仿宋" w:eastAsia="仿宋" w:cs="仿宋"/>
          <w:color w:val="000000"/>
          <w:sz w:val="28"/>
        </w:rPr>
        <w:t>业绩展示。</w:t>
      </w:r>
    </w:p>
    <w:p>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3.</w:t>
      </w:r>
      <w:r>
        <w:rPr>
          <w:rFonts w:ascii="仿宋" w:hAnsi="仿宋" w:eastAsia="仿宋" w:cs="仿宋"/>
          <w:color w:val="000000"/>
          <w:sz w:val="28"/>
        </w:rPr>
        <w:t>应急保障措施</w:t>
      </w:r>
      <w:r>
        <w:rPr>
          <w:rFonts w:hint="eastAsia" w:ascii="仿宋" w:hAnsi="仿宋" w:eastAsia="仿宋" w:cs="仿宋"/>
          <w:color w:val="000000"/>
          <w:sz w:val="28"/>
        </w:rPr>
        <w:t>。</w:t>
      </w: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4.</w:t>
      </w:r>
      <w:r>
        <w:rPr>
          <w:rFonts w:hint="eastAsia" w:ascii="仿宋" w:hAnsi="仿宋" w:eastAsia="仿宋" w:cs="仿宋"/>
          <w:color w:val="000000"/>
          <w:sz w:val="28"/>
        </w:rPr>
        <w:t>售后服务方案</w:t>
      </w:r>
      <w:r>
        <w:rPr>
          <w:rFonts w:hint="eastAsia" w:ascii="仿宋" w:hAnsi="仿宋" w:eastAsia="仿宋" w:cs="仿宋"/>
          <w:color w:val="000000"/>
          <w:sz w:val="28"/>
          <w:lang w:eastAsia="zh-CN"/>
        </w:rPr>
        <w:t>，</w:t>
      </w:r>
      <w:r>
        <w:rPr>
          <w:rFonts w:hint="eastAsia" w:ascii="仿宋" w:hAnsi="仿宋" w:eastAsia="仿宋" w:cs="仿宋"/>
          <w:color w:val="000000"/>
          <w:sz w:val="28"/>
        </w:rPr>
        <w:t>包含售后服务承诺</w:t>
      </w:r>
      <w:r>
        <w:rPr>
          <w:rFonts w:hint="default" w:ascii="仿宋" w:hAnsi="仿宋" w:eastAsia="仿宋" w:cs="仿宋"/>
          <w:color w:val="000000"/>
          <w:sz w:val="28"/>
        </w:rPr>
        <w:t>、售后服务响应时间、投诉处理方案</w:t>
      </w:r>
      <w:r>
        <w:rPr>
          <w:rFonts w:hint="eastAsia" w:ascii="仿宋" w:hAnsi="仿宋" w:eastAsia="仿宋" w:cs="仿宋"/>
          <w:color w:val="000000"/>
          <w:sz w:val="28"/>
          <w:lang w:eastAsia="zh-CN"/>
        </w:rPr>
        <w:t>等。</w:t>
      </w:r>
    </w:p>
    <w:p>
      <w:pPr>
        <w:pStyle w:val="5"/>
        <w:rPr>
          <w:highlight w:val="yellow"/>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pStyle w:val="5"/>
        <w:rPr>
          <w:b/>
          <w:bCs/>
        </w:rPr>
      </w:pPr>
    </w:p>
    <w:p>
      <w:pPr>
        <w:ind w:firstLine="640" w:firstLineChars="20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报价表</w:t>
      </w:r>
    </w:p>
    <w:p>
      <w:pPr>
        <w:rPr>
          <w:rFonts w:ascii="仿宋" w:hAnsi="仿宋" w:eastAsia="仿宋"/>
          <w:sz w:val="32"/>
          <w:szCs w:val="32"/>
        </w:rPr>
      </w:pPr>
    </w:p>
    <w:tbl>
      <w:tblPr>
        <w:tblStyle w:val="18"/>
        <w:tblpPr w:leftFromText="180" w:rightFromText="180" w:vertAnchor="text" w:horzAnchor="margin" w:tblpY="110"/>
        <w:tblW w:w="901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4"/>
        <w:gridCol w:w="2520"/>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34" w:type="dxa"/>
            <w:vAlign w:val="center"/>
          </w:tcPr>
          <w:p>
            <w:pPr>
              <w:ind w:firstLine="482" w:firstLineChars="200"/>
              <w:jc w:val="center"/>
              <w:rPr>
                <w:rFonts w:ascii="仿宋" w:hAnsi="仿宋" w:eastAsia="仿宋"/>
                <w:b/>
                <w:bCs/>
                <w:sz w:val="24"/>
                <w:szCs w:val="32"/>
              </w:rPr>
            </w:pPr>
            <w:r>
              <w:rPr>
                <w:rFonts w:hint="eastAsia" w:ascii="仿宋" w:hAnsi="仿宋" w:eastAsia="仿宋"/>
                <w:b/>
                <w:bCs/>
                <w:sz w:val="24"/>
                <w:szCs w:val="32"/>
              </w:rPr>
              <w:t>项目</w:t>
            </w:r>
          </w:p>
        </w:tc>
        <w:tc>
          <w:tcPr>
            <w:tcW w:w="2520" w:type="dxa"/>
            <w:vAlign w:val="center"/>
          </w:tcPr>
          <w:p>
            <w:pPr>
              <w:ind w:firstLine="482" w:firstLineChars="200"/>
              <w:jc w:val="center"/>
              <w:rPr>
                <w:rFonts w:ascii="仿宋" w:hAnsi="仿宋" w:eastAsia="仿宋"/>
                <w:b/>
                <w:bCs/>
                <w:sz w:val="24"/>
                <w:szCs w:val="32"/>
              </w:rPr>
            </w:pPr>
            <w:r>
              <w:rPr>
                <w:rFonts w:hint="eastAsia" w:ascii="仿宋" w:hAnsi="仿宋" w:eastAsia="仿宋"/>
                <w:b/>
                <w:bCs/>
                <w:sz w:val="24"/>
                <w:szCs w:val="32"/>
                <w:lang w:eastAsia="zh-CN"/>
              </w:rPr>
              <w:t>费用（</w:t>
            </w:r>
            <w:r>
              <w:rPr>
                <w:rFonts w:hint="eastAsia" w:ascii="仿宋" w:hAnsi="仿宋" w:eastAsia="仿宋"/>
                <w:b/>
                <w:bCs/>
                <w:sz w:val="24"/>
                <w:szCs w:val="32"/>
              </w:rPr>
              <w:t>价格</w:t>
            </w:r>
            <w:r>
              <w:rPr>
                <w:rFonts w:hint="eastAsia" w:ascii="仿宋" w:hAnsi="仿宋" w:eastAsia="仿宋"/>
                <w:b/>
                <w:bCs/>
                <w:sz w:val="24"/>
                <w:szCs w:val="32"/>
                <w:lang w:eastAsia="zh-CN"/>
              </w:rPr>
              <w:t>）</w:t>
            </w:r>
          </w:p>
        </w:tc>
        <w:tc>
          <w:tcPr>
            <w:tcW w:w="2057" w:type="dxa"/>
            <w:vAlign w:val="center"/>
          </w:tcPr>
          <w:p>
            <w:pPr>
              <w:ind w:firstLine="482" w:firstLineChars="200"/>
              <w:jc w:val="center"/>
              <w:rPr>
                <w:rFonts w:ascii="仿宋" w:hAnsi="仿宋" w:eastAsia="仿宋"/>
                <w:b/>
                <w:bCs/>
                <w:sz w:val="24"/>
                <w:szCs w:val="32"/>
              </w:rPr>
            </w:pPr>
            <w:r>
              <w:rPr>
                <w:rFonts w:hint="eastAsia" w:ascii="仿宋" w:hAnsi="仿宋" w:eastAsia="仿宋"/>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434" w:type="dxa"/>
            <w:vAlign w:val="center"/>
          </w:tcPr>
          <w:p>
            <w:pPr>
              <w:ind w:firstLine="480" w:firstLineChars="200"/>
              <w:jc w:val="center"/>
              <w:rPr>
                <w:rFonts w:ascii="仿宋" w:hAnsi="仿宋" w:eastAsia="仿宋"/>
                <w:sz w:val="24"/>
                <w:szCs w:val="32"/>
              </w:rPr>
            </w:pPr>
            <w:r>
              <w:rPr>
                <w:rFonts w:hint="eastAsia" w:ascii="仿宋" w:hAnsi="仿宋" w:eastAsia="仿宋"/>
                <w:sz w:val="24"/>
                <w:szCs w:val="32"/>
              </w:rPr>
              <w:t>货品质控和业务指导费用</w:t>
            </w:r>
          </w:p>
        </w:tc>
        <w:tc>
          <w:tcPr>
            <w:tcW w:w="2520" w:type="dxa"/>
            <w:vAlign w:val="center"/>
          </w:tcPr>
          <w:p>
            <w:pPr>
              <w:ind w:firstLine="480" w:firstLineChars="200"/>
              <w:jc w:val="center"/>
              <w:rPr>
                <w:rFonts w:ascii="仿宋" w:hAnsi="仿宋" w:eastAsia="仿宋"/>
                <w:sz w:val="24"/>
                <w:szCs w:val="32"/>
              </w:rPr>
            </w:pPr>
            <w:r>
              <w:rPr>
                <w:rFonts w:hint="eastAsia" w:ascii="仿宋" w:hAnsi="仿宋" w:eastAsia="仿宋"/>
                <w:sz w:val="24"/>
                <w:szCs w:val="32"/>
              </w:rPr>
              <w:t>（元/年）</w:t>
            </w:r>
          </w:p>
        </w:tc>
        <w:tc>
          <w:tcPr>
            <w:tcW w:w="2057" w:type="dxa"/>
            <w:vMerge w:val="restart"/>
            <w:vAlign w:val="center"/>
          </w:tcPr>
          <w:p>
            <w:pPr>
              <w:ind w:firstLine="0" w:firstLineChars="0"/>
              <w:jc w:val="left"/>
              <w:rPr>
                <w:rFonts w:hint="default" w:ascii="仿宋" w:hAnsi="仿宋" w:eastAsia="仿宋"/>
                <w:sz w:val="24"/>
                <w:szCs w:val="32"/>
                <w:lang w:val="en-US" w:eastAsia="zh-CN"/>
              </w:rPr>
            </w:pPr>
            <w:r>
              <w:rPr>
                <w:rFonts w:hint="default" w:ascii="仿宋" w:hAnsi="仿宋" w:eastAsia="仿宋"/>
                <w:sz w:val="24"/>
                <w:szCs w:val="32"/>
              </w:rPr>
              <w:t>货品质控和业务指导费用的报价不得低于35万元/年，且向医院提供不少于30个自动售货机点位；综合管理等费用（包括水电、保安、保洁、管理）最低限价不得低于0.6万元/台/年。上述费用和数量的要求为实质性响应条款，如低于最低要求的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434" w:type="dxa"/>
            <w:vAlign w:val="center"/>
          </w:tcPr>
          <w:p>
            <w:pPr>
              <w:ind w:firstLine="480" w:firstLineChars="200"/>
              <w:jc w:val="center"/>
              <w:rPr>
                <w:rFonts w:ascii="仿宋" w:hAnsi="仿宋" w:eastAsia="仿宋"/>
                <w:sz w:val="24"/>
                <w:szCs w:val="32"/>
              </w:rPr>
            </w:pPr>
            <w:r>
              <w:rPr>
                <w:rFonts w:hint="eastAsia" w:ascii="仿宋" w:hAnsi="仿宋" w:eastAsia="仿宋"/>
                <w:sz w:val="24"/>
                <w:szCs w:val="32"/>
              </w:rPr>
              <w:t>综合管理等费用（包括水电、保安、保洁、管理）</w:t>
            </w:r>
          </w:p>
        </w:tc>
        <w:tc>
          <w:tcPr>
            <w:tcW w:w="2520" w:type="dxa"/>
            <w:vAlign w:val="center"/>
          </w:tcPr>
          <w:p>
            <w:pPr>
              <w:ind w:firstLine="480" w:firstLineChars="200"/>
              <w:jc w:val="center"/>
              <w:rPr>
                <w:rFonts w:ascii="仿宋" w:hAnsi="仿宋" w:eastAsia="仿宋"/>
                <w:sz w:val="24"/>
                <w:szCs w:val="32"/>
              </w:rPr>
            </w:pPr>
            <w:r>
              <w:rPr>
                <w:rFonts w:hint="eastAsia" w:ascii="仿宋" w:hAnsi="仿宋" w:eastAsia="仿宋"/>
                <w:sz w:val="24"/>
                <w:szCs w:val="32"/>
              </w:rPr>
              <w:t>（元/台/年）</w:t>
            </w:r>
          </w:p>
        </w:tc>
        <w:tc>
          <w:tcPr>
            <w:tcW w:w="2057" w:type="dxa"/>
            <w:vMerge w:val="continue"/>
            <w:vAlign w:val="center"/>
          </w:tcPr>
          <w:p>
            <w:pPr>
              <w:ind w:firstLine="0" w:firstLineChars="0"/>
              <w:jc w:val="left"/>
              <w:rPr>
                <w:rFonts w:ascii="仿宋" w:hAnsi="仿宋" w:eastAsia="仿宋"/>
                <w:sz w:val="24"/>
                <w:szCs w:val="32"/>
              </w:rPr>
            </w:pPr>
          </w:p>
        </w:tc>
      </w:tr>
    </w:tbl>
    <w:p>
      <w:pPr>
        <w:pStyle w:val="5"/>
        <w:rPr>
          <w:b/>
          <w:bCs/>
        </w:rPr>
      </w:pPr>
    </w:p>
    <w:p>
      <w:pPr>
        <w:rPr>
          <w:rFonts w:hint="eastAsia"/>
          <w:lang w:val="en-US" w:eastAsia="zh-CN"/>
        </w:rPr>
      </w:pPr>
    </w:p>
    <w:p>
      <w:pPr>
        <w:ind w:firstLine="560" w:firstLineChars="200"/>
        <w:rPr>
          <w:rFonts w:hint="eastAsia" w:ascii="仿宋" w:hAnsi="仿宋" w:eastAsia="仿宋" w:cs="仿宋"/>
          <w:color w:val="000000"/>
          <w:sz w:val="28"/>
          <w:lang w:val="en-US" w:eastAsia="zh-CN"/>
        </w:rPr>
      </w:pPr>
    </w:p>
    <w:p>
      <w:pPr>
        <w:ind w:firstLine="560" w:firstLineChars="200"/>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备注：报价是参选机构完成本项目全部工作内容的费用，包括完成本项目所涉及的人工劳务、设备投入、材料、知识产权、利润、风险、税金等一切费用。</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8.产品质量控制体系。</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10</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5"/>
        <w:rPr>
          <w:rFonts w:ascii="仿宋" w:hAnsi="仿宋" w:eastAsia="仿宋"/>
          <w:sz w:val="28"/>
          <w:szCs w:val="28"/>
        </w:rPr>
      </w:pPr>
    </w:p>
    <w:p>
      <w:pPr>
        <w:pStyle w:val="5"/>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（签字或加盖个人名章）：</w:t>
      </w:r>
    </w:p>
    <w:p>
      <w:pPr>
        <w:ind w:firstLine="560" w:firstLineChars="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7"/>
        <w:tblW w:w="9238" w:type="dxa"/>
        <w:tblInd w:w="0" w:type="dxa"/>
        <w:tblLayout w:type="fixed"/>
        <w:tblCellMar>
          <w:top w:w="0" w:type="dxa"/>
          <w:left w:w="108" w:type="dxa"/>
          <w:bottom w:w="0" w:type="dxa"/>
          <w:right w:w="108" w:type="dxa"/>
        </w:tblCellMar>
      </w:tblPr>
      <w:tblGrid>
        <w:gridCol w:w="1306"/>
        <w:gridCol w:w="1044"/>
        <w:gridCol w:w="891"/>
        <w:gridCol w:w="3597"/>
        <w:gridCol w:w="840"/>
        <w:gridCol w:w="1560"/>
      </w:tblGrid>
      <w:tr>
        <w:tblPrEx>
          <w:tblCellMar>
            <w:top w:w="0" w:type="dxa"/>
            <w:left w:w="108" w:type="dxa"/>
            <w:bottom w:w="0" w:type="dxa"/>
            <w:right w:w="108" w:type="dxa"/>
          </w:tblCellMar>
        </w:tblPrEx>
        <w:trPr>
          <w:trHeight w:val="842"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评分因素及权重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分值</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评分标准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2300" w:hRule="atLeast"/>
        </w:trPr>
        <w:tc>
          <w:tcPr>
            <w:tcW w:w="130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费用（</w:t>
            </w:r>
            <w:r>
              <w:rPr>
                <w:rFonts w:hint="eastAsia" w:ascii="仿宋_GB2312" w:hAnsi="仿宋_GB2312" w:eastAsia="仿宋_GB2312" w:cs="仿宋_GB2312"/>
                <w:color w:val="000000"/>
                <w:kern w:val="0"/>
                <w:sz w:val="24"/>
                <w:lang w:bidi="ar"/>
              </w:rPr>
              <w:t>价格</w:t>
            </w:r>
            <w:r>
              <w:rPr>
                <w:rFonts w:hint="eastAsia" w:ascii="仿宋_GB2312" w:hAnsi="仿宋_GB2312" w:eastAsia="仿宋_GB2312" w:cs="仿宋_GB2312"/>
                <w:color w:val="000000"/>
                <w:kern w:val="0"/>
                <w:sz w:val="24"/>
                <w:lang w:eastAsia="zh-CN" w:bidi="ar"/>
              </w:rPr>
              <w:t>）</w:t>
            </w:r>
          </w:p>
          <w:p>
            <w:pPr>
              <w:pStyle w:val="2"/>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10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货品质控和业务指导费用：有效参选机构的平均报价为评标基准价，高于或等于评标基准价，其价格分为满分。其他投标人（报价低于评标基准价）的价格分统一按照下列公式计算：投标报价得分=（投标报价/评标基准价）×</w:t>
            </w:r>
            <w:r>
              <w:rPr>
                <w:rFonts w:hint="eastAsia" w:ascii="仿宋_GB2312" w:hAnsi="仿宋_GB2312" w:eastAsia="仿宋_GB2312" w:cs="仿宋_GB2312"/>
                <w:color w:val="000000"/>
                <w:kern w:val="0"/>
                <w:sz w:val="24"/>
                <w:lang w:val="en-US" w:eastAsia="zh-CN" w:bidi="ar"/>
              </w:rPr>
              <w:t>10</w:t>
            </w:r>
            <w:r>
              <w:rPr>
                <w:rFonts w:hint="eastAsia" w:ascii="仿宋_GB2312" w:hAnsi="仿宋_GB2312" w:eastAsia="仿宋_GB2312" w:cs="仿宋_GB2312"/>
                <w:color w:val="000000"/>
                <w:kern w:val="0"/>
                <w:sz w:val="24"/>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评分的取值按四舍五入法，保留小数点后两位。</w:t>
            </w:r>
          </w:p>
        </w:tc>
      </w:tr>
      <w:tr>
        <w:tblPrEx>
          <w:tblCellMar>
            <w:top w:w="0" w:type="dxa"/>
            <w:left w:w="108" w:type="dxa"/>
            <w:bottom w:w="0" w:type="dxa"/>
            <w:right w:w="108" w:type="dxa"/>
          </w:tblCellMar>
        </w:tblPrEx>
        <w:trPr>
          <w:trHeight w:val="2849" w:hRule="atLeast"/>
        </w:trPr>
        <w:tc>
          <w:tcPr>
            <w:tcW w:w="130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10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综合管理等费用（包括水电、保安、保洁、管理）：有效参选机构的平均报价为评标基准价，高于或等于评标基准价，其价格分为满分。其他投标人（报价低于评标基准价）的价格分统一按照下列公式计算：投标报价得分=（投标报价/评标基准价）×</w:t>
            </w:r>
            <w:r>
              <w:rPr>
                <w:rFonts w:hint="eastAsia" w:ascii="仿宋_GB2312" w:hAnsi="仿宋_GB2312" w:eastAsia="仿宋_GB2312" w:cs="仿宋_GB2312"/>
                <w:color w:val="000000"/>
                <w:kern w:val="0"/>
                <w:sz w:val="24"/>
                <w:lang w:val="en-US" w:eastAsia="zh-CN" w:bidi="ar"/>
              </w:rPr>
              <w:t>10</w:t>
            </w:r>
            <w:r>
              <w:rPr>
                <w:rFonts w:hint="eastAsia" w:ascii="仿宋_GB2312" w:hAnsi="仿宋_GB2312" w:eastAsia="仿宋_GB2312" w:cs="仿宋_GB2312"/>
                <w:color w:val="000000"/>
                <w:kern w:val="0"/>
                <w:sz w:val="24"/>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913" w:hRule="atLeast"/>
        </w:trPr>
        <w:tc>
          <w:tcPr>
            <w:tcW w:w="130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04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技术要求（3</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25</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1.参选机构带★条款的响应得分规则如下：全部满足带★条为满分，不满足一条扣</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①响应内容应提供承诺函或其他纸质证明材料并逐页加盖参选机构鲜章。②带★条款为重要条款的响应。</w:t>
            </w:r>
          </w:p>
        </w:tc>
      </w:tr>
      <w:tr>
        <w:tblPrEx>
          <w:tblCellMar>
            <w:top w:w="0" w:type="dxa"/>
            <w:left w:w="108" w:type="dxa"/>
            <w:bottom w:w="0" w:type="dxa"/>
            <w:right w:w="108" w:type="dxa"/>
          </w:tblCellMar>
        </w:tblPrEx>
        <w:trPr>
          <w:trHeight w:val="2060" w:hRule="atLeast"/>
        </w:trPr>
        <w:tc>
          <w:tcPr>
            <w:tcW w:w="130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2.参选机构一般条款的响应得分规则如下：（一般条款是指：除标注“★” 的条款以外的所有条款）</w:t>
            </w:r>
          </w:p>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全部满足为满分，不满足一条扣2分，扣完为止。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2488" w:hRule="atLeast"/>
        </w:trPr>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业绩证明（1</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5</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2.提供2021年1月1日以来，三级及以上医院类似合作案例，每提供1个案例得</w:t>
            </w: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分，总分不超过1</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需提供合同复印件及医院等级证明材料并加盖参选机构鲜章.</w:t>
            </w:r>
          </w:p>
        </w:tc>
      </w:tr>
      <w:tr>
        <w:tblPrEx>
          <w:tblCellMar>
            <w:top w:w="0" w:type="dxa"/>
            <w:left w:w="108" w:type="dxa"/>
            <w:bottom w:w="0" w:type="dxa"/>
            <w:right w:w="108" w:type="dxa"/>
          </w:tblCellMar>
        </w:tblPrEx>
        <w:trPr>
          <w:trHeight w:val="7152" w:hRule="atLeast"/>
        </w:trPr>
        <w:tc>
          <w:tcPr>
            <w:tcW w:w="130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04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合作方案与服务能力（30%）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根据所提供服务方案的整体质量、可行性进行打分：在要求的合作模式下，</w:t>
            </w:r>
          </w:p>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1.有完整的运行流程及质量控制流程：包括但不限于</w:t>
            </w:r>
            <w:r>
              <w:rPr>
                <w:rFonts w:hint="eastAsia" w:ascii="仿宋_GB2312" w:hAnsi="仿宋_GB2312" w:eastAsia="仿宋_GB2312" w:cs="仿宋_GB2312"/>
                <w:color w:val="000000"/>
                <w:kern w:val="0"/>
                <w:sz w:val="24"/>
                <w:lang w:eastAsia="zh-CN" w:bidi="ar"/>
              </w:rPr>
              <w:t>补货制度、设备</w:t>
            </w:r>
            <w:r>
              <w:rPr>
                <w:rFonts w:hint="eastAsia" w:ascii="仿宋_GB2312" w:hAnsi="仿宋_GB2312" w:eastAsia="仿宋_GB2312" w:cs="仿宋_GB2312"/>
                <w:color w:val="000000"/>
                <w:kern w:val="0"/>
                <w:sz w:val="24"/>
                <w:lang w:bidi="ar"/>
              </w:rPr>
              <w:t>定期维护和检查</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价格控制、</w:t>
            </w:r>
            <w:r>
              <w:rPr>
                <w:rFonts w:hint="eastAsia" w:ascii="仿宋_GB2312" w:hAnsi="仿宋_GB2312" w:eastAsia="仿宋_GB2312" w:cs="仿宋_GB2312"/>
                <w:color w:val="000000"/>
                <w:kern w:val="0"/>
                <w:sz w:val="24"/>
                <w:lang w:bidi="ar"/>
              </w:rPr>
              <w:t>设备性能监控、商品质量保证等。</w:t>
            </w:r>
          </w:p>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2.有及时响应的应急保障措施：包括但不限于故障快速响应机制、人员驻点方案，备用设备和关键部件、远程监控和管理系统、应急沟通渠道等。</w:t>
            </w:r>
          </w:p>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3.具备完善的售后服务方案：包括但不限于售后服务承诺、售后服务响应时间、投诉处理方案。要求方案清晰、科学、完善、可行性高、针对性强。</w:t>
            </w:r>
          </w:p>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内容全面、科学合理、针对性强得15-18分；（2）内容较为全面、较为科学合理、针对性较强得8-14分；（3）内容基本全面、基本科学合理、针对性一般得1-7分；（4）内容不全面、不科学合理、针对性差或未提供的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054" w:hRule="atLeast"/>
        </w:trPr>
        <w:tc>
          <w:tcPr>
            <w:tcW w:w="130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color w:val="000000"/>
                <w:sz w:val="24"/>
              </w:rPr>
            </w:pPr>
          </w:p>
        </w:tc>
        <w:tc>
          <w:tcPr>
            <w:tcW w:w="10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3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产品质量控制体系：质量控制体系包含：</w:t>
            </w:r>
          </w:p>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1.产品质量保证：包括但不限于</w:t>
            </w:r>
            <w:r>
              <w:rPr>
                <w:rFonts w:hint="eastAsia" w:ascii="仿宋_GB2312" w:hAnsi="仿宋_GB2312" w:eastAsia="仿宋_GB2312" w:cs="仿宋_GB2312"/>
                <w:color w:val="000000"/>
                <w:kern w:val="0"/>
                <w:sz w:val="24"/>
                <w:lang w:eastAsia="zh-CN" w:bidi="ar"/>
              </w:rPr>
              <w:t>从业人员健康管理、</w:t>
            </w:r>
            <w:r>
              <w:rPr>
                <w:rFonts w:hint="eastAsia" w:ascii="仿宋_GB2312" w:hAnsi="仿宋_GB2312" w:eastAsia="仿宋_GB2312" w:cs="仿宋_GB2312"/>
                <w:color w:val="000000"/>
                <w:kern w:val="0"/>
                <w:sz w:val="24"/>
                <w:lang w:bidi="ar"/>
              </w:rPr>
              <w:t>供应商资质审核、进货检验、</w:t>
            </w:r>
            <w:r>
              <w:rPr>
                <w:rFonts w:hint="eastAsia" w:ascii="仿宋_GB2312" w:hAnsi="仿宋_GB2312" w:eastAsia="仿宋_GB2312" w:cs="仿宋_GB2312"/>
                <w:color w:val="000000"/>
                <w:kern w:val="0"/>
                <w:sz w:val="24"/>
                <w:lang w:eastAsia="zh-CN" w:bidi="ar"/>
              </w:rPr>
              <w:t>产品储存管理及临期货管理、不合格产品下架销毁管理</w:t>
            </w:r>
            <w:r>
              <w:rPr>
                <w:rFonts w:hint="eastAsia" w:ascii="仿宋_GB2312" w:hAnsi="仿宋_GB2312" w:eastAsia="仿宋_GB2312" w:cs="仿宋_GB2312"/>
                <w:color w:val="000000"/>
                <w:kern w:val="0"/>
                <w:sz w:val="24"/>
                <w:lang w:bidi="ar"/>
              </w:rPr>
              <w:t>。</w:t>
            </w:r>
          </w:p>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2.溯源管理：包括但不限于批次追踪、溯源信息公开。</w:t>
            </w:r>
          </w:p>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3.管控措施：包括但不限于质量控制点设置、风险评估和管理、</w:t>
            </w:r>
            <w:r>
              <w:rPr>
                <w:rFonts w:hint="eastAsia" w:ascii="仿宋_GB2312" w:hAnsi="仿宋_GB2312" w:eastAsia="仿宋_GB2312" w:cs="仿宋_GB2312"/>
                <w:color w:val="000000"/>
                <w:kern w:val="0"/>
                <w:sz w:val="24"/>
                <w:lang w:eastAsia="zh-CN" w:bidi="ar"/>
              </w:rPr>
              <w:t>质量问题处理方案</w:t>
            </w:r>
            <w:r>
              <w:rPr>
                <w:rFonts w:hint="eastAsia" w:ascii="仿宋_GB2312" w:hAnsi="仿宋_GB2312" w:eastAsia="仿宋_GB2312" w:cs="仿宋_GB2312"/>
                <w:color w:val="000000"/>
                <w:kern w:val="0"/>
                <w:sz w:val="24"/>
                <w:lang w:bidi="ar"/>
              </w:rPr>
              <w:t>等内容。（1）内容全面、科学合理、可操作性强得8-12分；（2）内容较为全面、较为科学合理、操作性较强得4-7分；（3）内容基本全面、基本科学合理、操作性一般得1-3分。（4）内容不全面、不科学、操作性差或未提供的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000000"/>
                <w:sz w:val="24"/>
              </w:rPr>
            </w:pPr>
          </w:p>
        </w:tc>
      </w:tr>
    </w:tbl>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pStyle w:val="2"/>
        <w:rPr>
          <w:rFonts w:hint="eastAsia" w:ascii="仿宋" w:hAnsi="仿宋" w:eastAsia="仿宋"/>
          <w:b/>
          <w:sz w:val="32"/>
          <w:szCs w:val="28"/>
        </w:rPr>
      </w:pPr>
    </w:p>
    <w:p>
      <w:pPr>
        <w:rPr>
          <w:rFonts w:hint="eastAsia" w:ascii="仿宋" w:hAnsi="仿宋" w:eastAsia="仿宋"/>
          <w:b/>
          <w:sz w:val="32"/>
          <w:szCs w:val="28"/>
        </w:rPr>
      </w:pPr>
    </w:p>
    <w:p>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23CFB"/>
    <w:multiLevelType w:val="singleLevel"/>
    <w:tmpl w:val="49823C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44516F7"/>
    <w:rsid w:val="065917A1"/>
    <w:rsid w:val="068A4895"/>
    <w:rsid w:val="07865CC1"/>
    <w:rsid w:val="08B12BD3"/>
    <w:rsid w:val="090917E1"/>
    <w:rsid w:val="09106A69"/>
    <w:rsid w:val="094E1467"/>
    <w:rsid w:val="09EE37F9"/>
    <w:rsid w:val="0A5F67C4"/>
    <w:rsid w:val="0AC21C32"/>
    <w:rsid w:val="0AD777BB"/>
    <w:rsid w:val="0AF93291"/>
    <w:rsid w:val="0C3D1EB8"/>
    <w:rsid w:val="0C801DA5"/>
    <w:rsid w:val="0CB40DE6"/>
    <w:rsid w:val="0D0D639A"/>
    <w:rsid w:val="0D4B59D5"/>
    <w:rsid w:val="0D4D6A8C"/>
    <w:rsid w:val="0D5B6275"/>
    <w:rsid w:val="0EC10A41"/>
    <w:rsid w:val="0EC61D01"/>
    <w:rsid w:val="0F19286B"/>
    <w:rsid w:val="0F662CE2"/>
    <w:rsid w:val="0FE11533"/>
    <w:rsid w:val="10A31851"/>
    <w:rsid w:val="10A94BB8"/>
    <w:rsid w:val="10B30F68"/>
    <w:rsid w:val="11403123"/>
    <w:rsid w:val="12244F80"/>
    <w:rsid w:val="12485112"/>
    <w:rsid w:val="129B01A8"/>
    <w:rsid w:val="135103B7"/>
    <w:rsid w:val="13A659AB"/>
    <w:rsid w:val="146A0021"/>
    <w:rsid w:val="14E81685"/>
    <w:rsid w:val="156D00FF"/>
    <w:rsid w:val="159F500E"/>
    <w:rsid w:val="15B036FB"/>
    <w:rsid w:val="169326D4"/>
    <w:rsid w:val="174D31CB"/>
    <w:rsid w:val="17A56CAE"/>
    <w:rsid w:val="182C48E3"/>
    <w:rsid w:val="184C1E5E"/>
    <w:rsid w:val="186175D4"/>
    <w:rsid w:val="194062FB"/>
    <w:rsid w:val="1A2B77F4"/>
    <w:rsid w:val="1A3F3860"/>
    <w:rsid w:val="1AB36AD5"/>
    <w:rsid w:val="1B5E59A7"/>
    <w:rsid w:val="1B783377"/>
    <w:rsid w:val="1B9A2198"/>
    <w:rsid w:val="1BE3708C"/>
    <w:rsid w:val="1C080CFB"/>
    <w:rsid w:val="1C393D1E"/>
    <w:rsid w:val="1D2B664D"/>
    <w:rsid w:val="1D77071A"/>
    <w:rsid w:val="1DDA0EB6"/>
    <w:rsid w:val="1E55507B"/>
    <w:rsid w:val="1F0617AF"/>
    <w:rsid w:val="1F166329"/>
    <w:rsid w:val="1F9F2057"/>
    <w:rsid w:val="1FC20CFF"/>
    <w:rsid w:val="20296706"/>
    <w:rsid w:val="204C362A"/>
    <w:rsid w:val="20C368F8"/>
    <w:rsid w:val="211E7B23"/>
    <w:rsid w:val="21336A03"/>
    <w:rsid w:val="21503898"/>
    <w:rsid w:val="21991621"/>
    <w:rsid w:val="225E0A1A"/>
    <w:rsid w:val="225E4AC7"/>
    <w:rsid w:val="22E14319"/>
    <w:rsid w:val="232F02A4"/>
    <w:rsid w:val="23F43EF2"/>
    <w:rsid w:val="24DB0068"/>
    <w:rsid w:val="25F8534E"/>
    <w:rsid w:val="27363334"/>
    <w:rsid w:val="27533EE6"/>
    <w:rsid w:val="286640ED"/>
    <w:rsid w:val="286D5C93"/>
    <w:rsid w:val="29CA26C7"/>
    <w:rsid w:val="29EC4C3C"/>
    <w:rsid w:val="2AA40CE7"/>
    <w:rsid w:val="2AB071E6"/>
    <w:rsid w:val="2AB71FB6"/>
    <w:rsid w:val="2B285689"/>
    <w:rsid w:val="2B3763B3"/>
    <w:rsid w:val="2BA07916"/>
    <w:rsid w:val="2BD30E9C"/>
    <w:rsid w:val="2BD630A1"/>
    <w:rsid w:val="2C3F2356"/>
    <w:rsid w:val="2CB76CC5"/>
    <w:rsid w:val="2CCA6A56"/>
    <w:rsid w:val="2D436988"/>
    <w:rsid w:val="2E920B22"/>
    <w:rsid w:val="2F643C4E"/>
    <w:rsid w:val="30C16364"/>
    <w:rsid w:val="322E4844"/>
    <w:rsid w:val="33092244"/>
    <w:rsid w:val="33356B95"/>
    <w:rsid w:val="33FE18E2"/>
    <w:rsid w:val="3489489A"/>
    <w:rsid w:val="350C467A"/>
    <w:rsid w:val="35106D39"/>
    <w:rsid w:val="35853A9F"/>
    <w:rsid w:val="358E7516"/>
    <w:rsid w:val="35BD05E5"/>
    <w:rsid w:val="36406C01"/>
    <w:rsid w:val="36D52B69"/>
    <w:rsid w:val="374C704E"/>
    <w:rsid w:val="3787194D"/>
    <w:rsid w:val="378816EF"/>
    <w:rsid w:val="383051EC"/>
    <w:rsid w:val="392C4B7E"/>
    <w:rsid w:val="394C64E9"/>
    <w:rsid w:val="396A15C3"/>
    <w:rsid w:val="3B32271F"/>
    <w:rsid w:val="3B84310D"/>
    <w:rsid w:val="3BAA6D17"/>
    <w:rsid w:val="3C676D43"/>
    <w:rsid w:val="3CEA420A"/>
    <w:rsid w:val="3CEE1D4C"/>
    <w:rsid w:val="3DA908AC"/>
    <w:rsid w:val="3DCC55BB"/>
    <w:rsid w:val="3F5D2B3A"/>
    <w:rsid w:val="3F9F4367"/>
    <w:rsid w:val="3FBB48C6"/>
    <w:rsid w:val="3FE0432D"/>
    <w:rsid w:val="3FFC1167"/>
    <w:rsid w:val="40270DAD"/>
    <w:rsid w:val="40955117"/>
    <w:rsid w:val="412C40D1"/>
    <w:rsid w:val="413C37E5"/>
    <w:rsid w:val="435C657B"/>
    <w:rsid w:val="445E4006"/>
    <w:rsid w:val="452E25E2"/>
    <w:rsid w:val="453B46DA"/>
    <w:rsid w:val="458D77A6"/>
    <w:rsid w:val="459D541B"/>
    <w:rsid w:val="45AC0314"/>
    <w:rsid w:val="4608590C"/>
    <w:rsid w:val="4621793D"/>
    <w:rsid w:val="462A4554"/>
    <w:rsid w:val="46767799"/>
    <w:rsid w:val="467B1005"/>
    <w:rsid w:val="46A77952"/>
    <w:rsid w:val="479240E4"/>
    <w:rsid w:val="48387928"/>
    <w:rsid w:val="48757D08"/>
    <w:rsid w:val="487A3C34"/>
    <w:rsid w:val="49C02229"/>
    <w:rsid w:val="4B3612CD"/>
    <w:rsid w:val="4B466FC9"/>
    <w:rsid w:val="4D001B6A"/>
    <w:rsid w:val="4D761E2D"/>
    <w:rsid w:val="4D875AEF"/>
    <w:rsid w:val="4DF71675"/>
    <w:rsid w:val="4E4A7541"/>
    <w:rsid w:val="4E6E7530"/>
    <w:rsid w:val="4E6F0C06"/>
    <w:rsid w:val="51290E9D"/>
    <w:rsid w:val="52024F4A"/>
    <w:rsid w:val="521C7D39"/>
    <w:rsid w:val="52725202"/>
    <w:rsid w:val="53184E30"/>
    <w:rsid w:val="5336549F"/>
    <w:rsid w:val="557A2C1D"/>
    <w:rsid w:val="5587107B"/>
    <w:rsid w:val="55BF6A67"/>
    <w:rsid w:val="560C305F"/>
    <w:rsid w:val="566D64C3"/>
    <w:rsid w:val="576B0616"/>
    <w:rsid w:val="579719E1"/>
    <w:rsid w:val="57BB325E"/>
    <w:rsid w:val="57D63138"/>
    <w:rsid w:val="58110BCB"/>
    <w:rsid w:val="58D603B7"/>
    <w:rsid w:val="58FF4954"/>
    <w:rsid w:val="59EE3C8E"/>
    <w:rsid w:val="5B5E0F00"/>
    <w:rsid w:val="5B8560DB"/>
    <w:rsid w:val="5D645E2F"/>
    <w:rsid w:val="5D6705E7"/>
    <w:rsid w:val="5D8660BC"/>
    <w:rsid w:val="5D8E48EC"/>
    <w:rsid w:val="5DDE0EF2"/>
    <w:rsid w:val="5DE057CC"/>
    <w:rsid w:val="5E8F3D62"/>
    <w:rsid w:val="5EF02608"/>
    <w:rsid w:val="5F174C09"/>
    <w:rsid w:val="5F213199"/>
    <w:rsid w:val="5F2E3793"/>
    <w:rsid w:val="60470FEA"/>
    <w:rsid w:val="608E59B3"/>
    <w:rsid w:val="608F7035"/>
    <w:rsid w:val="61A6391B"/>
    <w:rsid w:val="61E723CC"/>
    <w:rsid w:val="621C1D54"/>
    <w:rsid w:val="62785FB1"/>
    <w:rsid w:val="62C377FD"/>
    <w:rsid w:val="62C61B62"/>
    <w:rsid w:val="631A75CF"/>
    <w:rsid w:val="637D216D"/>
    <w:rsid w:val="63B82D47"/>
    <w:rsid w:val="63CB4828"/>
    <w:rsid w:val="655B26C1"/>
    <w:rsid w:val="65983C87"/>
    <w:rsid w:val="66B44169"/>
    <w:rsid w:val="672572C9"/>
    <w:rsid w:val="67765C92"/>
    <w:rsid w:val="67FC610F"/>
    <w:rsid w:val="68CA1553"/>
    <w:rsid w:val="6A372895"/>
    <w:rsid w:val="6BEF7107"/>
    <w:rsid w:val="6C66644F"/>
    <w:rsid w:val="6C830396"/>
    <w:rsid w:val="6C8C675E"/>
    <w:rsid w:val="6C8D626A"/>
    <w:rsid w:val="6CBB2471"/>
    <w:rsid w:val="6D732880"/>
    <w:rsid w:val="6E362785"/>
    <w:rsid w:val="6F1E2035"/>
    <w:rsid w:val="6FA24510"/>
    <w:rsid w:val="701D28B0"/>
    <w:rsid w:val="7148086A"/>
    <w:rsid w:val="71AE3117"/>
    <w:rsid w:val="73EF0213"/>
    <w:rsid w:val="74161AF0"/>
    <w:rsid w:val="7478299F"/>
    <w:rsid w:val="748950FC"/>
    <w:rsid w:val="7571237D"/>
    <w:rsid w:val="75A45B38"/>
    <w:rsid w:val="75C97621"/>
    <w:rsid w:val="75F83B2E"/>
    <w:rsid w:val="766537ED"/>
    <w:rsid w:val="767710B2"/>
    <w:rsid w:val="768F7938"/>
    <w:rsid w:val="773405DA"/>
    <w:rsid w:val="775F36A1"/>
    <w:rsid w:val="77955421"/>
    <w:rsid w:val="77C95EEC"/>
    <w:rsid w:val="781E1859"/>
    <w:rsid w:val="789D7585"/>
    <w:rsid w:val="78D22FF2"/>
    <w:rsid w:val="791473AE"/>
    <w:rsid w:val="793F6063"/>
    <w:rsid w:val="79984985"/>
    <w:rsid w:val="79996D18"/>
    <w:rsid w:val="79B83691"/>
    <w:rsid w:val="7A4E0664"/>
    <w:rsid w:val="7AD47607"/>
    <w:rsid w:val="7ADC2D9C"/>
    <w:rsid w:val="7B96182F"/>
    <w:rsid w:val="7C6333F8"/>
    <w:rsid w:val="7CBE4869"/>
    <w:rsid w:val="7CC35590"/>
    <w:rsid w:val="7CE12914"/>
    <w:rsid w:val="7D40798F"/>
    <w:rsid w:val="7DC01526"/>
    <w:rsid w:val="7E394D59"/>
    <w:rsid w:val="7EC363D0"/>
    <w:rsid w:val="7F840255"/>
    <w:rsid w:val="7FA75CF2"/>
    <w:rsid w:val="7FB66D9C"/>
    <w:rsid w:val="7FE900B8"/>
    <w:rsid w:val="7FFE6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9"/>
    <w:pPr>
      <w:keepNext/>
      <w:keepLines/>
      <w:spacing w:beforeLines="100" w:afterLines="100"/>
      <w:jc w:val="center"/>
      <w:outlineLvl w:val="1"/>
    </w:pPr>
    <w:rPr>
      <w:rFonts w:ascii="Arial" w:hAnsi="Arial" w:eastAsia="黑体"/>
      <w:b/>
      <w:bCs/>
      <w:sz w:val="3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5">
    <w:name w:val="Normal Indent"/>
    <w:basedOn w:val="1"/>
    <w:autoRedefine/>
    <w:qFormat/>
    <w:uiPriority w:val="0"/>
    <w:pPr>
      <w:ind w:firstLine="420"/>
    </w:pPr>
    <w:rPr>
      <w:rFonts w:ascii="Times New Roman"/>
    </w:rPr>
  </w:style>
  <w:style w:type="paragraph" w:styleId="6">
    <w:name w:val="annotation text"/>
    <w:basedOn w:val="1"/>
    <w:link w:val="27"/>
    <w:autoRedefine/>
    <w:semiHidden/>
    <w:unhideWhenUsed/>
    <w:qFormat/>
    <w:uiPriority w:val="99"/>
    <w:pPr>
      <w:jc w:val="left"/>
    </w:pPr>
  </w:style>
  <w:style w:type="paragraph" w:styleId="7">
    <w:name w:val="Body Text Indent"/>
    <w:basedOn w:val="1"/>
    <w:autoRedefine/>
    <w:qFormat/>
    <w:uiPriority w:val="0"/>
    <w:pPr>
      <w:ind w:firstLine="660"/>
    </w:pPr>
    <w:rPr>
      <w:rFonts w:ascii="宋体" w:hAnsi="宋体"/>
      <w:color w:val="000000"/>
      <w:kern w:val="0"/>
      <w:sz w:val="24"/>
      <w:szCs w:val="24"/>
    </w:rPr>
  </w:style>
  <w:style w:type="paragraph" w:styleId="8">
    <w:name w:val="Plain Text"/>
    <w:basedOn w:val="1"/>
    <w:autoRedefine/>
    <w:unhideWhenUsed/>
    <w:qFormat/>
    <w:uiPriority w:val="99"/>
    <w:rPr>
      <w:rFonts w:ascii="宋体" w:hAnsi="Courier New" w:eastAsia="宋体"/>
    </w:rPr>
  </w:style>
  <w:style w:type="paragraph" w:styleId="9">
    <w:name w:val="Date"/>
    <w:basedOn w:val="1"/>
    <w:next w:val="1"/>
    <w:link w:val="30"/>
    <w:autoRedefine/>
    <w:semiHidden/>
    <w:unhideWhenUsed/>
    <w:qFormat/>
    <w:uiPriority w:val="99"/>
    <w:pPr>
      <w:ind w:left="100" w:leftChars="2500"/>
    </w:p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rPr>
      <w:rFonts w:ascii="Times New Roman" w:hAnsi="Times New Roman" w:cs="Times New Roman"/>
      <w:sz w:val="24"/>
      <w:szCs w:val="24"/>
    </w:rPr>
  </w:style>
  <w:style w:type="paragraph" w:styleId="14">
    <w:name w:val="annotation subject"/>
    <w:basedOn w:val="6"/>
    <w:next w:val="6"/>
    <w:link w:val="28"/>
    <w:autoRedefine/>
    <w:semiHidden/>
    <w:unhideWhenUsed/>
    <w:qFormat/>
    <w:uiPriority w:val="99"/>
    <w:rPr>
      <w:b/>
      <w:bCs/>
    </w:rPr>
  </w:style>
  <w:style w:type="paragraph" w:styleId="15">
    <w:name w:val="Body Text First Indent"/>
    <w:basedOn w:val="2"/>
    <w:next w:val="1"/>
    <w:autoRedefine/>
    <w:qFormat/>
    <w:uiPriority w:val="0"/>
    <w:pPr>
      <w:ind w:firstLine="420" w:firstLineChars="100"/>
    </w:pPr>
  </w:style>
  <w:style w:type="paragraph" w:styleId="16">
    <w:name w:val="Body Text First Indent 2"/>
    <w:basedOn w:val="7"/>
    <w:autoRedefine/>
    <w:qFormat/>
    <w:uiPriority w:val="0"/>
    <w:pPr>
      <w:ind w:firstLine="420"/>
    </w:pPr>
  </w:style>
  <w:style w:type="table" w:styleId="18">
    <w:name w:val="Table Grid"/>
    <w:basedOn w:val="1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Emphasis"/>
    <w:basedOn w:val="19"/>
    <w:autoRedefine/>
    <w:qFormat/>
    <w:uiPriority w:val="20"/>
    <w:rPr>
      <w:i/>
    </w:rPr>
  </w:style>
  <w:style w:type="character" w:styleId="21">
    <w:name w:val="annotation reference"/>
    <w:basedOn w:val="19"/>
    <w:autoRedefine/>
    <w:semiHidden/>
    <w:unhideWhenUsed/>
    <w:qFormat/>
    <w:uiPriority w:val="99"/>
    <w:rPr>
      <w:sz w:val="21"/>
      <w:szCs w:val="21"/>
    </w:rPr>
  </w:style>
  <w:style w:type="paragraph" w:customStyle="1" w:styleId="22">
    <w:name w:val="表格文字"/>
    <w:basedOn w:val="23"/>
    <w:autoRedefine/>
    <w:qFormat/>
    <w:uiPriority w:val="0"/>
  </w:style>
  <w:style w:type="paragraph" w:customStyle="1" w:styleId="23">
    <w:name w:val="表格文字（两侧对齐）"/>
    <w:basedOn w:val="1"/>
    <w:autoRedefine/>
    <w:qFormat/>
    <w:uiPriority w:val="0"/>
    <w:pPr>
      <w:widowControl w:val="0"/>
      <w:spacing w:line="240" w:lineRule="auto"/>
      <w:ind w:firstLine="0" w:firstLineChars="0"/>
    </w:pPr>
    <w:rPr>
      <w:rFonts w:ascii="Calibri" w:hAnsi="Calibri" w:cs="Times New Roman"/>
      <w:kern w:val="0"/>
      <w:sz w:val="20"/>
    </w:rPr>
  </w:style>
  <w:style w:type="paragraph" w:styleId="24">
    <w:name w:val="List Paragraph"/>
    <w:basedOn w:val="1"/>
    <w:autoRedefine/>
    <w:qFormat/>
    <w:uiPriority w:val="34"/>
    <w:pPr>
      <w:ind w:firstLine="420" w:firstLineChars="200"/>
    </w:pPr>
  </w:style>
  <w:style w:type="character" w:customStyle="1" w:styleId="25">
    <w:name w:val="页眉 Char"/>
    <w:basedOn w:val="19"/>
    <w:link w:val="12"/>
    <w:autoRedefine/>
    <w:qFormat/>
    <w:uiPriority w:val="99"/>
    <w:rPr>
      <w:sz w:val="18"/>
      <w:szCs w:val="18"/>
    </w:rPr>
  </w:style>
  <w:style w:type="character" w:customStyle="1" w:styleId="26">
    <w:name w:val="页脚 Char"/>
    <w:basedOn w:val="19"/>
    <w:link w:val="11"/>
    <w:autoRedefine/>
    <w:qFormat/>
    <w:uiPriority w:val="99"/>
    <w:rPr>
      <w:sz w:val="18"/>
      <w:szCs w:val="18"/>
    </w:rPr>
  </w:style>
  <w:style w:type="character" w:customStyle="1" w:styleId="27">
    <w:name w:val="批注文字 Char"/>
    <w:basedOn w:val="19"/>
    <w:link w:val="6"/>
    <w:autoRedefine/>
    <w:semiHidden/>
    <w:qFormat/>
    <w:uiPriority w:val="99"/>
  </w:style>
  <w:style w:type="character" w:customStyle="1" w:styleId="28">
    <w:name w:val="批注主题 Char"/>
    <w:basedOn w:val="27"/>
    <w:link w:val="14"/>
    <w:autoRedefine/>
    <w:semiHidden/>
    <w:qFormat/>
    <w:uiPriority w:val="99"/>
    <w:rPr>
      <w:b/>
      <w:bCs/>
    </w:rPr>
  </w:style>
  <w:style w:type="character" w:customStyle="1" w:styleId="29">
    <w:name w:val="批注框文本 Char"/>
    <w:basedOn w:val="19"/>
    <w:link w:val="10"/>
    <w:autoRedefine/>
    <w:semiHidden/>
    <w:qFormat/>
    <w:uiPriority w:val="99"/>
    <w:rPr>
      <w:sz w:val="18"/>
      <w:szCs w:val="18"/>
    </w:rPr>
  </w:style>
  <w:style w:type="character" w:customStyle="1" w:styleId="30">
    <w:name w:val="日期 Char"/>
    <w:basedOn w:val="19"/>
    <w:link w:val="9"/>
    <w:autoRedefine/>
    <w:semiHidden/>
    <w:qFormat/>
    <w:uiPriority w:val="99"/>
  </w:style>
  <w:style w:type="table" w:customStyle="1" w:styleId="31">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33">
    <w:name w:val="Body text|1"/>
    <w:basedOn w:val="1"/>
    <w:autoRedefine/>
    <w:qFormat/>
    <w:uiPriority w:val="0"/>
    <w:pPr>
      <w:spacing w:line="480" w:lineRule="auto"/>
      <w:ind w:firstLine="400"/>
    </w:pPr>
    <w:rPr>
      <w:rFonts w:ascii="宋体" w:hAnsi="宋体" w:cs="宋体"/>
      <w:sz w:val="26"/>
      <w:szCs w:val="26"/>
      <w:lang w:val="zh-TW" w:eastAsia="zh-TW" w:bidi="zh-TW"/>
    </w:rPr>
  </w:style>
  <w:style w:type="paragraph" w:customStyle="1" w:styleId="34">
    <w:name w:val=".正文"/>
    <w:basedOn w:val="1"/>
    <w:autoRedefine/>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5">
    <w:name w:val="font61"/>
    <w:basedOn w:val="19"/>
    <w:autoRedefine/>
    <w:qFormat/>
    <w:uiPriority w:val="0"/>
    <w:rPr>
      <w:rFonts w:hint="eastAsia" w:ascii="仿宋_GB2312" w:eastAsia="仿宋_GB2312" w:cs="仿宋_GB2312"/>
      <w:color w:val="000000"/>
      <w:sz w:val="22"/>
      <w:szCs w:val="22"/>
      <w:u w:val="none"/>
    </w:rPr>
  </w:style>
  <w:style w:type="paragraph" w:customStyle="1" w:styleId="36">
    <w:name w:val="null3"/>
    <w:autoRedefine/>
    <w:hidden/>
    <w:qFormat/>
    <w:uiPriority w:val="0"/>
    <w:rPr>
      <w:rFonts w:hint="eastAsia" w:asciiTheme="minorHAnsi" w:hAnsiTheme="minorHAnsi" w:eastAsiaTheme="minorEastAsia" w:cstheme="minorBidi"/>
      <w:lang w:val="en-US" w:eastAsia="zh-Hans"/>
    </w:rPr>
  </w:style>
  <w:style w:type="paragraph" w:customStyle="1" w:styleId="37">
    <w:name w:val="列出段落1"/>
    <w:basedOn w:val="1"/>
    <w:autoRedefine/>
    <w:qFormat/>
    <w:uiPriority w:val="34"/>
    <w:pPr>
      <w:autoSpaceDE/>
      <w:autoSpaceDN/>
      <w:ind w:firstLine="420" w:firstLineChars="200"/>
      <w:jc w:val="both"/>
    </w:pPr>
    <w:rPr>
      <w:rFonts w:ascii="Times New Roman" w:hAnsi="Times New Roman" w:cs="Times New Roman"/>
      <w:kern w:val="2"/>
      <w:sz w:val="21"/>
      <w:szCs w:val="2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6982</Words>
  <Characters>7228</Characters>
  <Lines>49</Lines>
  <Paragraphs>13</Paragraphs>
  <TotalTime>10</TotalTime>
  <ScaleCrop>false</ScaleCrop>
  <LinksUpToDate>false</LinksUpToDate>
  <CharactersWithSpaces>7316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2024-06-24T03:27:21Z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2052-12.1.0.16929</vt:lpwstr>
  </property>
  <property fmtid="{D5CDD505-2E9C-101B-9397-08002B2CF9AE}" pid="4" name="ICV">
    <vt:lpwstr>3CC6F5DCF81A4747BE3C8B39C4957E99_13</vt:lpwstr>
  </property>
</Properties>
</file>