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智慧医院数字食堂采购项目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widowControl/>
        <w:suppressLineNumbers w:val="0"/>
        <w:jc w:val="center"/>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val="en-US" w:eastAsia="zh-CN"/>
        </w:rPr>
        <w:t>：SCFY-HQ202406-003（磋）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36" w:afterAutospacing="0" w:line="360" w:lineRule="auto"/>
        <w:ind w:right="0"/>
        <w:jc w:val="both"/>
        <w:rPr>
          <w:rFonts w:hint="eastAsia" w:ascii="宋体" w:hAnsi="宋体" w:eastAsia="宋体" w:cs="宋体"/>
          <w:color w:val="auto"/>
          <w:sz w:val="24"/>
          <w:szCs w:val="24"/>
          <w:highlight w:val="none"/>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我院将召开“智慧医院数字食堂采购项目”院内采购会议，会议由后勤保障部组织。届时，请投标人准时参加，务必提供公司资质文件（密封盖章）、采购投标文件（密封盖章）、报价一览表（密封盖章）等资料，具体事项如下：</w:t>
      </w:r>
    </w:p>
    <w:p>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会议时间：</w:t>
      </w:r>
      <w:r>
        <w:rPr>
          <w:rFonts w:hint="eastAsia" w:ascii="宋体" w:hAnsi="宋体" w:cs="宋体"/>
          <w:b/>
          <w:bCs/>
          <w:i w:val="0"/>
          <w:iCs w:val="0"/>
          <w:caps w:val="0"/>
          <w:color w:val="auto"/>
          <w:spacing w:val="0"/>
          <w:sz w:val="24"/>
          <w:szCs w:val="24"/>
          <w:highlight w:val="none"/>
          <w:shd w:val="clear" w:color="auto" w:fill="FFFFFF"/>
          <w:lang w:eastAsia="zh-CN"/>
        </w:rPr>
        <w:t>2024年7月10日（星期三）上午09:00</w:t>
      </w:r>
    </w:p>
    <w:p>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0" w:leftChars="0" w:right="0" w:rightChars="0" w:firstLine="42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会议地点：四川省妇幼保健院</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b/>
          <w:bCs/>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rPr>
        <w:t xml:space="preserve">     </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left="420"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后勤保障部及</w:t>
      </w:r>
      <w:r>
        <w:rPr>
          <w:rFonts w:hint="eastAsia" w:ascii="宋体" w:hAnsi="宋体" w:cs="宋体"/>
          <w:i w:val="0"/>
          <w:iCs w:val="0"/>
          <w:caps w:val="0"/>
          <w:color w:val="auto"/>
          <w:spacing w:val="0"/>
          <w:sz w:val="24"/>
          <w:szCs w:val="24"/>
          <w:highlight w:val="none"/>
          <w:shd w:val="clear" w:color="auto" w:fill="FFFFFF"/>
          <w:lang w:val="en-US" w:eastAsia="zh-CN"/>
        </w:rPr>
        <w:t>其它</w:t>
      </w:r>
      <w:r>
        <w:rPr>
          <w:rFonts w:hint="eastAsia" w:ascii="宋体" w:hAnsi="宋体" w:eastAsia="宋体" w:cs="宋体"/>
          <w:i w:val="0"/>
          <w:iCs w:val="0"/>
          <w:caps w:val="0"/>
          <w:color w:val="auto"/>
          <w:spacing w:val="0"/>
          <w:sz w:val="24"/>
          <w:szCs w:val="24"/>
          <w:highlight w:val="none"/>
          <w:shd w:val="clear" w:color="auto" w:fill="FFFFFF"/>
          <w:lang w:val="en-US" w:eastAsia="zh-CN"/>
        </w:rPr>
        <w:t>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w:t>
      </w:r>
      <w:r>
        <w:rPr>
          <w:rFonts w:hint="eastAsia" w:ascii="宋体" w:hAnsi="宋体" w:eastAsia="宋体" w:cs="宋体"/>
          <w:i w:val="0"/>
          <w:iCs w:val="0"/>
          <w:caps w:val="0"/>
          <w:color w:val="auto"/>
          <w:spacing w:val="0"/>
          <w:sz w:val="24"/>
          <w:szCs w:val="24"/>
          <w:highlight w:val="none"/>
          <w:shd w:val="clear" w:color="auto" w:fill="FFFFFF"/>
          <w:lang w:val="en-US" w:eastAsia="zh-CN"/>
        </w:rPr>
        <w:t>现场</w:t>
      </w:r>
      <w:r>
        <w:rPr>
          <w:rFonts w:hint="eastAsia" w:ascii="宋体" w:hAnsi="宋体" w:eastAsia="宋体" w:cs="宋体"/>
          <w:i w:val="0"/>
          <w:iCs w:val="0"/>
          <w:caps w:val="0"/>
          <w:color w:val="auto"/>
          <w:spacing w:val="0"/>
          <w:sz w:val="24"/>
          <w:szCs w:val="24"/>
          <w:highlight w:val="none"/>
          <w:shd w:val="clear" w:color="auto" w:fill="FFFFFF"/>
        </w:rPr>
        <w:t>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line="360" w:lineRule="auto"/>
        <w:ind w:left="479" w:leftChars="228"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投标人的要求（其中4.2.1-4.2.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为资格证明文件）</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4.2.1有效的三证合一营业执照（副本）；</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cs="宋体"/>
          <w:b/>
          <w:bCs/>
          <w:i w:val="0"/>
          <w:iCs w:val="0"/>
          <w:caps w:val="0"/>
          <w:color w:val="auto"/>
          <w:spacing w:val="0"/>
          <w:sz w:val="24"/>
          <w:szCs w:val="24"/>
          <w:highlight w:val="none"/>
          <w:shd w:val="clear" w:color="auto" w:fill="FFFFFF"/>
          <w:lang w:eastAsia="zh-CN"/>
        </w:rPr>
      </w:pPr>
      <w:r>
        <w:rPr>
          <w:rFonts w:hint="eastAsia" w:ascii="宋体" w:hAnsi="宋体" w:eastAsia="宋体" w:cs="宋体"/>
          <w:b/>
          <w:bCs/>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b/>
          <w:bCs/>
          <w:i w:val="0"/>
          <w:iCs w:val="0"/>
          <w:caps w:val="0"/>
          <w:color w:val="auto"/>
          <w:spacing w:val="0"/>
          <w:sz w:val="24"/>
          <w:szCs w:val="24"/>
          <w:highlight w:val="none"/>
          <w:shd w:val="clear" w:color="auto" w:fill="FFFFFF"/>
          <w:lang w:val="en-US" w:eastAsia="zh-CN"/>
        </w:rPr>
        <w:t>2-2</w:t>
      </w:r>
      <w:r>
        <w:rPr>
          <w:rFonts w:hint="eastAsia" w:ascii="宋体" w:hAnsi="宋体" w:eastAsia="宋体" w:cs="宋体"/>
          <w:b/>
          <w:bCs/>
          <w:i w:val="0"/>
          <w:iCs w:val="0"/>
          <w:caps w:val="0"/>
          <w:color w:val="auto"/>
          <w:spacing w:val="0"/>
          <w:sz w:val="24"/>
          <w:szCs w:val="24"/>
          <w:highlight w:val="none"/>
          <w:shd w:val="clear" w:color="auto" w:fill="FFFFFF"/>
        </w:rPr>
        <w:t>）,法定代表人和经办人身份证复印件</w:t>
      </w:r>
      <w:r>
        <w:rPr>
          <w:rFonts w:hint="eastAsia" w:ascii="宋体" w:hAnsi="宋体" w:cs="宋体"/>
          <w:b/>
          <w:bCs/>
          <w:i w:val="0"/>
          <w:iCs w:val="0"/>
          <w:caps w:val="0"/>
          <w:color w:val="auto"/>
          <w:spacing w:val="0"/>
          <w:sz w:val="24"/>
          <w:szCs w:val="24"/>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3</w:t>
      </w:r>
      <w:r>
        <w:rPr>
          <w:rFonts w:hint="eastAsia" w:ascii="宋体" w:hAnsi="宋体" w:eastAsia="宋体" w:cs="宋体"/>
          <w:b/>
          <w:bCs/>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见附件2-4</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b/>
          <w:bCs/>
          <w:i w:val="0"/>
          <w:iCs w:val="0"/>
          <w:caps w:val="0"/>
          <w:color w:val="auto"/>
          <w:spacing w:val="0"/>
          <w:sz w:val="24"/>
          <w:szCs w:val="24"/>
          <w:highlight w:val="none"/>
          <w:shd w:val="clear" w:color="auto" w:fill="FFFFFF"/>
        </w:rPr>
      </w:pPr>
      <w:r>
        <w:rPr>
          <w:rFonts w:hint="eastAsia" w:ascii="宋体" w:hAnsi="宋体" w:eastAsia="宋体" w:cs="宋体"/>
          <w:b/>
          <w:bCs/>
          <w:i w:val="0"/>
          <w:iCs w:val="0"/>
          <w:caps w:val="0"/>
          <w:color w:val="auto"/>
          <w:spacing w:val="0"/>
          <w:sz w:val="24"/>
          <w:szCs w:val="24"/>
          <w:highlight w:val="none"/>
          <w:shd w:val="clear" w:color="auto" w:fill="FFFFFF"/>
        </w:rPr>
        <w:t>4.2.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lang w:val="en-US" w:eastAsia="zh-CN"/>
        </w:rPr>
        <w:t>见附件2-5</w:t>
      </w:r>
      <w:r>
        <w:rPr>
          <w:rFonts w:hint="eastAsia" w:ascii="宋体" w:hAnsi="宋体" w:eastAsia="宋体" w:cs="宋体"/>
          <w:b/>
          <w:bCs/>
          <w:i w:val="0"/>
          <w:iCs w:val="0"/>
          <w:caps w:val="0"/>
          <w:color w:val="auto"/>
          <w:spacing w:val="0"/>
          <w:sz w:val="24"/>
          <w:szCs w:val="24"/>
          <w:highlight w:val="none"/>
          <w:shd w:val="clear" w:color="auto" w:fill="FFFFFF"/>
          <w:lang w:eastAsia="zh-CN"/>
        </w:rPr>
        <w:t>）</w:t>
      </w:r>
      <w:r>
        <w:rPr>
          <w:rFonts w:hint="eastAsia" w:ascii="宋体" w:hAnsi="宋体" w:eastAsia="宋体" w:cs="宋体"/>
          <w:b/>
          <w:bCs/>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投标人应能够按照采购人要求及时签署合同，按照购销合同规定的品牌、产地、质量、价格、规格、有效期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ind w:left="420" w:left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p>
    <w:p>
      <w:pPr>
        <w:keepNext w:val="0"/>
        <w:keepLines w:val="0"/>
        <w:pageBreakBefore w:val="0"/>
        <w:numPr>
          <w:ilvl w:val="0"/>
          <w:numId w:val="0"/>
        </w:numPr>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5.报价要求：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5.3报价原则：原则上所有投标品种报价不得高于四川省内其他地市中标价格或医疗机构近两年的历史采购最低价。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b/>
          <w:bCs/>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会前要求：</w:t>
      </w:r>
      <w:r>
        <w:rPr>
          <w:rFonts w:hint="eastAsia" w:ascii="宋体" w:hAnsi="宋体" w:eastAsia="宋体" w:cs="宋体"/>
          <w:b/>
          <w:bCs/>
          <w:i w:val="0"/>
          <w:iCs w:val="0"/>
          <w:caps w:val="0"/>
          <w:color w:val="auto"/>
          <w:spacing w:val="0"/>
          <w:sz w:val="24"/>
          <w:szCs w:val="24"/>
          <w:highlight w:val="none"/>
          <w:u w:val="single"/>
          <w:shd w:val="clear" w:color="auto" w:fill="FFFFFF"/>
        </w:rPr>
        <w:t>拟参会供应商需于</w:t>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2024年7月8日（星期一）12：</w:t>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fldChar w:fldCharType="begin"/>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instrText xml:space="preserve"> HYPERLINK "mailto:00前向后勤保障部提供4.2.1-4.2.4资格证明文件，发送到411348364@qq.com邮箱进行资格前审查。" </w:instrText>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fldChar w:fldCharType="separate"/>
      </w:r>
      <w:r>
        <w:rPr>
          <w:rStyle w:val="19"/>
          <w:rFonts w:hint="eastAsia" w:ascii="宋体" w:hAnsi="宋体" w:eastAsia="宋体" w:cs="宋体"/>
          <w:b/>
          <w:bCs/>
          <w:i w:val="0"/>
          <w:iCs w:val="0"/>
          <w:caps w:val="0"/>
          <w:color w:val="auto"/>
          <w:spacing w:val="0"/>
          <w:sz w:val="24"/>
          <w:szCs w:val="24"/>
          <w:highlight w:val="none"/>
          <w:u w:val="single"/>
          <w:shd w:val="clear" w:color="auto" w:fill="FFFFFF"/>
          <w:lang w:val="en-US" w:eastAsia="zh-CN"/>
        </w:rPr>
        <w:t>00前向后勤保障部提供4.2.1-4.2.4资格证明文件，发送到411348364@qq.com邮箱进行资格前审查。</w:t>
      </w: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fldChar w:fldCharType="end"/>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8.1　</w:t>
      </w:r>
      <w:r>
        <w:rPr>
          <w:rFonts w:hint="eastAsia" w:ascii="宋体" w:hAnsi="宋体" w:cs="宋体"/>
          <w:i w:val="0"/>
          <w:iCs w:val="0"/>
          <w:caps w:val="0"/>
          <w:color w:val="auto"/>
          <w:spacing w:val="0"/>
          <w:sz w:val="24"/>
          <w:szCs w:val="24"/>
          <w:highlight w:val="none"/>
          <w:shd w:val="clear" w:color="auto" w:fill="FFFFFF"/>
          <w:lang w:eastAsia="zh-CN"/>
        </w:rPr>
        <w:t>2024年7月10日（星期三）上午09:00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8.4　</w:t>
      </w:r>
      <w:r>
        <w:rPr>
          <w:rFonts w:hint="eastAsia" w:ascii="宋体" w:hAnsi="宋体" w:cs="宋体"/>
          <w:i w:val="0"/>
          <w:iCs w:val="0"/>
          <w:caps w:val="0"/>
          <w:color w:val="auto"/>
          <w:spacing w:val="0"/>
          <w:sz w:val="24"/>
          <w:szCs w:val="24"/>
          <w:highlight w:val="none"/>
          <w:shd w:val="clear" w:color="auto" w:fill="FFFFFF"/>
          <w:lang w:eastAsia="zh-CN"/>
        </w:rPr>
        <w:t>2024年7月10日（星期三）上午09:00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p>
    <w:p>
      <w:pPr>
        <w:pStyle w:val="1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其它说明：</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9.1采购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w:t>
      </w:r>
      <w:r>
        <w:rPr>
          <w:rFonts w:hint="eastAsia" w:ascii="宋体" w:hAnsi="宋体" w:eastAsia="宋体" w:cs="宋体"/>
          <w:i w:val="0"/>
          <w:iCs w:val="0"/>
          <w:caps w:val="0"/>
          <w:color w:val="auto"/>
          <w:spacing w:val="0"/>
          <w:sz w:val="24"/>
          <w:szCs w:val="24"/>
          <w:highlight w:val="none"/>
          <w:shd w:val="clear" w:color="auto" w:fill="FFFFFF"/>
        </w:rPr>
        <w:t>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w:t>
      </w:r>
      <w:r>
        <w:rPr>
          <w:rFonts w:hint="eastAsia" w:ascii="宋体" w:hAnsi="宋体" w:eastAsia="宋体" w:cs="宋体"/>
          <w:i w:val="0"/>
          <w:iCs w:val="0"/>
          <w:caps w:val="0"/>
          <w:color w:val="auto"/>
          <w:spacing w:val="0"/>
          <w:sz w:val="24"/>
          <w:szCs w:val="24"/>
          <w:highlight w:val="none"/>
          <w:shd w:val="clear" w:color="auto" w:fill="FFFFFF"/>
          <w:lang w:val="en-US" w:eastAsia="zh-CN"/>
        </w:rPr>
        <w:t>投标文件装订顺序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9.2确定的成交投标人需在约定时间内完成此次采购项目交付。</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9.3</w:t>
      </w:r>
      <w:r>
        <w:rPr>
          <w:rFonts w:hint="eastAsia" w:ascii="宋体" w:hAnsi="宋体" w:eastAsia="宋体" w:cs="宋体"/>
          <w:color w:val="auto"/>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cs="宋体"/>
          <w:i w:val="0"/>
          <w:iCs w:val="0"/>
          <w:caps w:val="0"/>
          <w:color w:val="auto"/>
          <w:spacing w:val="0"/>
          <w:sz w:val="24"/>
          <w:szCs w:val="24"/>
          <w:highlight w:val="none"/>
          <w:shd w:val="clear" w:color="auto" w:fill="FFFFFF"/>
          <w:lang w:val="en-US" w:eastAsia="zh-CN"/>
        </w:rPr>
        <w:t>。</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cs="宋体"/>
          <w:i w:val="0"/>
          <w:iCs w:val="0"/>
          <w:caps w:val="0"/>
          <w:color w:val="auto"/>
          <w:spacing w:val="0"/>
          <w:sz w:val="24"/>
          <w:szCs w:val="24"/>
          <w:highlight w:val="none"/>
          <w:shd w:val="clear" w:color="auto" w:fill="FFFFFF"/>
          <w:lang w:val="en-US" w:eastAsia="zh-CN"/>
        </w:rPr>
        <w:t>胡</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60671079。</w:t>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采购投标文件装订顺序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2"/>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shd w:val="clear" w:color="auto" w:fill="FFFFFF"/>
        </w:rPr>
      </w:pPr>
      <w:r>
        <w:rPr>
          <w:rFonts w:hint="eastAsia" w:ascii="宋体" w:hAnsi="宋体" w:eastAsia="宋体" w:cs="宋体"/>
          <w:b/>
          <w:bCs/>
          <w:i w:val="0"/>
          <w:caps w:val="0"/>
          <w:color w:val="auto"/>
          <w:spacing w:val="0"/>
          <w:sz w:val="24"/>
          <w:szCs w:val="24"/>
          <w:shd w:val="clear" w:color="auto" w:fill="FFFFFF"/>
          <w:lang w:val="en-US" w:eastAsia="zh-CN"/>
        </w:rPr>
        <w:t>附件1：采购</w:t>
      </w:r>
      <w:r>
        <w:rPr>
          <w:rFonts w:hint="eastAsia" w:ascii="宋体" w:hAnsi="宋体" w:eastAsia="宋体" w:cs="宋体"/>
          <w:b/>
          <w:bCs/>
          <w:i w:val="0"/>
          <w:caps w:val="0"/>
          <w:color w:val="auto"/>
          <w:spacing w:val="0"/>
          <w:sz w:val="24"/>
          <w:szCs w:val="24"/>
          <w:shd w:val="clear" w:color="auto" w:fill="FFFFFF"/>
        </w:rPr>
        <w:t>需求</w:t>
      </w:r>
      <w:r>
        <w:rPr>
          <w:rFonts w:hint="eastAsia" w:ascii="宋体" w:hAnsi="宋体" w:eastAsia="宋体" w:cs="宋体"/>
          <w:sz w:val="24"/>
          <w:szCs w:val="24"/>
          <w:shd w:val="clear" w:color="auto" w:fill="FFFFFF"/>
        </w:rPr>
        <w:t> </w:t>
      </w:r>
    </w:p>
    <w:p>
      <w:pPr>
        <w:pStyle w:val="2"/>
        <w:rPr>
          <w:rFonts w:hint="eastAsia"/>
        </w:rPr>
      </w:pPr>
    </w:p>
    <w:p>
      <w:pPr>
        <w:pageBreakBefore w:val="0"/>
        <w:kinsoku/>
        <w:overflowPunct/>
        <w:topLinePunct w:val="0"/>
        <w:bidi w:val="0"/>
        <w:spacing w:line="360" w:lineRule="auto"/>
        <w:ind w:firstLine="482" w:firstLineChars="200"/>
        <w:rPr>
          <w:rFonts w:hint="eastAsia" w:ascii="宋体" w:hAnsi="宋体" w:eastAsia="宋体" w:cs="宋体"/>
          <w:b/>
          <w:bCs/>
          <w:i w:val="0"/>
          <w:caps w:val="0"/>
          <w:color w:val="auto"/>
          <w:spacing w:val="0"/>
          <w:kern w:val="0"/>
          <w:sz w:val="24"/>
          <w:szCs w:val="24"/>
          <w:shd w:val="clear" w:color="auto" w:fill="FFFFFF"/>
          <w:lang w:val="en-US" w:eastAsia="zh-CN" w:bidi="ar"/>
        </w:rPr>
      </w:pPr>
      <w:r>
        <w:rPr>
          <w:rFonts w:hint="eastAsia" w:ascii="宋体" w:hAnsi="宋体" w:eastAsia="宋体" w:cs="宋体"/>
          <w:b/>
          <w:bCs/>
          <w:i w:val="0"/>
          <w:caps w:val="0"/>
          <w:color w:val="auto"/>
          <w:spacing w:val="0"/>
          <w:kern w:val="0"/>
          <w:sz w:val="24"/>
          <w:szCs w:val="24"/>
          <w:shd w:val="clear" w:color="auto" w:fill="FFFFFF"/>
          <w:lang w:val="en-US" w:eastAsia="zh-CN" w:bidi="ar"/>
        </w:rPr>
        <w:t>一、项目慨况</w:t>
      </w:r>
    </w:p>
    <w:p>
      <w:pPr>
        <w:pageBreakBefore w:val="0"/>
        <w:kinsoku/>
        <w:overflowPunct/>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i w:val="0"/>
          <w:caps w:val="0"/>
          <w:color w:val="auto"/>
          <w:spacing w:val="0"/>
          <w:kern w:val="0"/>
          <w:sz w:val="24"/>
          <w:szCs w:val="24"/>
          <w:shd w:val="clear" w:color="auto" w:fill="FFFFFF"/>
          <w:lang w:val="en-US" w:eastAsia="zh-CN" w:bidi="ar"/>
        </w:rPr>
        <w:t>1</w:t>
      </w:r>
      <w:r>
        <w:rPr>
          <w:rFonts w:hint="eastAsia" w:ascii="宋体" w:hAnsi="宋体" w:cs="宋体"/>
          <w:i w:val="0"/>
          <w:caps w:val="0"/>
          <w:color w:val="auto"/>
          <w:spacing w:val="0"/>
          <w:kern w:val="0"/>
          <w:sz w:val="24"/>
          <w:szCs w:val="24"/>
          <w:shd w:val="clear" w:color="auto" w:fill="FFFFFF"/>
          <w:lang w:val="en-US" w:eastAsia="zh-CN" w:bidi="ar"/>
        </w:rPr>
        <w:t>.</w:t>
      </w:r>
      <w:r>
        <w:rPr>
          <w:rFonts w:hint="eastAsia" w:ascii="宋体" w:hAnsi="宋体" w:eastAsia="宋体" w:cs="宋体"/>
          <w:i w:val="0"/>
          <w:caps w:val="0"/>
          <w:color w:val="auto"/>
          <w:spacing w:val="0"/>
          <w:kern w:val="0"/>
          <w:sz w:val="24"/>
          <w:szCs w:val="24"/>
          <w:shd w:val="clear" w:color="auto" w:fill="FFFFFF"/>
          <w:lang w:val="en-US" w:eastAsia="zh-CN" w:bidi="ar"/>
        </w:rPr>
        <w:t>为了提升我院食堂服务质量和效率，提高职工及患者的就餐满意度，完善医院智慧服务板块，四川省妇幼保健院计划采购智慧医院数字食堂平台，</w:t>
      </w:r>
      <w:r>
        <w:rPr>
          <w:rFonts w:hint="eastAsia" w:ascii="宋体" w:hAnsi="宋体" w:eastAsia="宋体" w:cs="宋体"/>
          <w:sz w:val="24"/>
          <w:szCs w:val="24"/>
          <w:lang w:val="en-US" w:eastAsia="zh-CN"/>
        </w:rPr>
        <w:t>实现我院“一院三区”架构内的所有食堂的病房订餐、堂食消费及后厨食安的综合管理，满足各食堂单位独立运行，餐补多院区消费，医院后勤统一管理的智慧食堂管理平台。</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2.项目名称：</w:t>
      </w:r>
      <w:r>
        <w:rPr>
          <w:rFonts w:hint="eastAsia" w:ascii="宋体" w:hAnsi="宋体" w:eastAsia="宋体" w:cs="宋体"/>
          <w:i w:val="0"/>
          <w:caps w:val="0"/>
          <w:color w:val="auto"/>
          <w:spacing w:val="0"/>
          <w:sz w:val="24"/>
          <w:szCs w:val="24"/>
          <w:shd w:val="clear" w:color="auto" w:fill="FFFFFF"/>
          <w:lang w:val="en-US" w:eastAsia="zh-CN"/>
        </w:rPr>
        <w:t>智慧医院数字食堂采购项目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3.项目</w:t>
      </w:r>
      <w:r>
        <w:rPr>
          <w:rFonts w:hint="eastAsia" w:ascii="宋体" w:hAnsi="宋体" w:eastAsia="宋体" w:cs="宋体"/>
          <w:i w:val="0"/>
          <w:caps w:val="0"/>
          <w:color w:val="auto"/>
          <w:spacing w:val="0"/>
          <w:sz w:val="24"/>
          <w:szCs w:val="24"/>
          <w:shd w:val="clear" w:color="auto" w:fill="FFFFFF"/>
          <w:lang w:val="en-US" w:eastAsia="zh-CN"/>
        </w:rPr>
        <w:t>最高限价</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60000.00元</w:t>
      </w:r>
      <w:r>
        <w:rPr>
          <w:rFonts w:hint="eastAsia" w:ascii="宋体" w:hAnsi="宋体" w:cs="宋体"/>
          <w:i w:val="0"/>
          <w:caps w:val="0"/>
          <w:color w:val="auto"/>
          <w:spacing w:val="0"/>
          <w:sz w:val="24"/>
          <w:szCs w:val="24"/>
          <w:shd w:val="clear" w:color="auto" w:fill="FFFFFF"/>
          <w:lang w:val="en-US" w:eastAsia="zh-CN"/>
        </w:rPr>
        <w:t>/年</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.项目</w:t>
      </w:r>
      <w:r>
        <w:rPr>
          <w:rFonts w:hint="eastAsia" w:ascii="宋体" w:hAnsi="宋体" w:eastAsia="宋体" w:cs="宋体"/>
          <w:i w:val="0"/>
          <w:caps w:val="0"/>
          <w:color w:val="auto"/>
          <w:spacing w:val="0"/>
          <w:sz w:val="24"/>
          <w:szCs w:val="24"/>
          <w:shd w:val="clear" w:color="auto" w:fill="FFFFFF"/>
          <w:lang w:val="en-US" w:eastAsia="zh-CN"/>
        </w:rPr>
        <w:t>工期</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合同签订后3</w:t>
      </w:r>
      <w:r>
        <w:rPr>
          <w:rFonts w:hint="eastAsia" w:ascii="宋体" w:hAnsi="宋体" w:eastAsia="宋体" w:cs="宋体"/>
          <w:i w:val="0"/>
          <w:caps w:val="0"/>
          <w:color w:val="auto"/>
          <w:spacing w:val="0"/>
          <w:sz w:val="24"/>
          <w:szCs w:val="24"/>
          <w:shd w:val="clear" w:color="auto" w:fill="FFFFFF"/>
        </w:rPr>
        <w:t>0个</w:t>
      </w:r>
      <w:r>
        <w:rPr>
          <w:rFonts w:hint="eastAsia" w:ascii="宋体" w:hAnsi="宋体" w:eastAsia="宋体" w:cs="宋体"/>
          <w:i w:val="0"/>
          <w:caps w:val="0"/>
          <w:color w:val="auto"/>
          <w:spacing w:val="0"/>
          <w:sz w:val="24"/>
          <w:szCs w:val="24"/>
          <w:shd w:val="clear" w:color="auto" w:fill="FFFFFF"/>
          <w:lang w:val="en-US" w:eastAsia="zh-CN"/>
        </w:rPr>
        <w:t>工作</w:t>
      </w:r>
      <w:r>
        <w:rPr>
          <w:rFonts w:hint="eastAsia" w:ascii="宋体" w:hAnsi="宋体" w:eastAsia="宋体" w:cs="宋体"/>
          <w:i w:val="0"/>
          <w:caps w:val="0"/>
          <w:color w:val="auto"/>
          <w:spacing w:val="0"/>
          <w:sz w:val="24"/>
          <w:szCs w:val="24"/>
          <w:shd w:val="clear" w:color="auto" w:fill="FFFFFF"/>
        </w:rPr>
        <w:t>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.项目</w:t>
      </w:r>
      <w:r>
        <w:rPr>
          <w:rFonts w:hint="eastAsia" w:ascii="宋体" w:hAnsi="宋体" w:eastAsia="宋体" w:cs="宋体"/>
          <w:i w:val="0"/>
          <w:caps w:val="0"/>
          <w:color w:val="auto"/>
          <w:spacing w:val="0"/>
          <w:sz w:val="24"/>
          <w:szCs w:val="24"/>
          <w:shd w:val="clear" w:color="auto" w:fill="FFFFFF"/>
          <w:lang w:val="en-US" w:eastAsia="zh-CN"/>
        </w:rPr>
        <w:t>服务期限</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3年</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b/>
          <w:bCs/>
          <w:i w:val="0"/>
          <w:caps w:val="0"/>
          <w:color w:val="auto"/>
          <w:spacing w:val="0"/>
          <w:kern w:val="0"/>
          <w:sz w:val="24"/>
          <w:szCs w:val="24"/>
          <w:shd w:val="clear" w:color="auto" w:fill="FFFFFF"/>
          <w:lang w:val="en-US" w:eastAsia="zh-CN" w:bidi="ar"/>
        </w:rPr>
      </w:pPr>
      <w:r>
        <w:rPr>
          <w:rFonts w:hint="eastAsia" w:ascii="宋体" w:hAnsi="宋体" w:eastAsia="宋体" w:cs="宋体"/>
          <w:b/>
          <w:bCs/>
          <w:i w:val="0"/>
          <w:caps w:val="0"/>
          <w:color w:val="auto"/>
          <w:spacing w:val="0"/>
          <w:kern w:val="0"/>
          <w:sz w:val="24"/>
          <w:szCs w:val="24"/>
          <w:shd w:val="clear" w:color="auto" w:fill="FFFFFF"/>
          <w:lang w:val="en-US" w:eastAsia="zh-CN" w:bidi="ar"/>
        </w:rPr>
        <w:t>二、技术和服务要求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rPr>
        <w:t>★</w:t>
      </w:r>
      <w:r>
        <w:rPr>
          <w:rFonts w:hint="eastAsia" w:ascii="宋体" w:hAnsi="宋体" w:eastAsia="宋体" w:cs="宋体"/>
          <w:i w:val="0"/>
          <w:caps w:val="0"/>
          <w:color w:val="auto"/>
          <w:spacing w:val="0"/>
          <w:kern w:val="0"/>
          <w:sz w:val="24"/>
          <w:szCs w:val="24"/>
          <w:shd w:val="clear" w:color="auto" w:fill="FFFFFF"/>
          <w:lang w:val="en-US" w:eastAsia="zh-CN" w:bidi="ar"/>
        </w:rPr>
        <w:t>（一）项目需求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1.</w:t>
      </w:r>
      <w:r>
        <w:rPr>
          <w:rFonts w:hint="eastAsia" w:ascii="宋体" w:hAnsi="宋体" w:eastAsia="宋体" w:cs="宋体"/>
          <w:i w:val="0"/>
          <w:caps w:val="0"/>
          <w:color w:val="auto"/>
          <w:spacing w:val="0"/>
          <w:sz w:val="24"/>
          <w:szCs w:val="24"/>
          <w:shd w:val="clear" w:color="auto" w:fill="FFFFFF"/>
          <w:lang w:val="en-US" w:eastAsia="zh-CN"/>
        </w:rPr>
        <w:t>系统须支持“一院多区多商业”的架构，可统一管理各院区的食堂、咖啡店及超市等商家</w:t>
      </w:r>
      <w:r>
        <w:rPr>
          <w:rFonts w:hint="eastAsia" w:ascii="宋体" w:hAnsi="宋体" w:eastAsia="宋体" w:cs="宋体"/>
          <w:i w:val="0"/>
          <w:caps w:val="0"/>
          <w:color w:val="auto"/>
          <w:spacing w:val="0"/>
          <w:sz w:val="24"/>
          <w:szCs w:val="24"/>
          <w:shd w:val="clear" w:color="auto"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2.</w:t>
      </w:r>
      <w:r>
        <w:rPr>
          <w:rFonts w:hint="eastAsia" w:ascii="宋体" w:hAnsi="宋体" w:eastAsia="宋体" w:cs="宋体"/>
          <w:i w:val="0"/>
          <w:caps w:val="0"/>
          <w:color w:val="auto"/>
          <w:spacing w:val="0"/>
          <w:sz w:val="24"/>
          <w:szCs w:val="24"/>
          <w:shd w:val="clear" w:color="auto" w:fill="FFFFFF"/>
          <w:lang w:val="en-US" w:eastAsia="zh-CN"/>
        </w:rPr>
        <w:t>科室需要满足病人一床一码订餐、职工一房一码订餐和食堂工作人员手持代订餐需求。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堂食就餐需要满足人工点餐、自助机点餐和窗口直接收银需求</w:t>
      </w:r>
      <w:r>
        <w:rPr>
          <w:rFonts w:hint="eastAsia" w:ascii="宋体" w:hAnsi="宋体" w:eastAsia="宋体" w:cs="宋体"/>
          <w:i w:val="0"/>
          <w:caps w:val="0"/>
          <w:color w:val="auto"/>
          <w:spacing w:val="0"/>
          <w:sz w:val="24"/>
          <w:szCs w:val="24"/>
          <w:shd w:val="clear" w:color="auto"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后厨食安需要满足食堂进销存管理及食品留样管理需求。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咖啡店、超市等商业需要满足线下零售管理和线上外卖管理需求。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6</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供应商</w:t>
      </w:r>
      <w:r>
        <w:rPr>
          <w:rFonts w:hint="eastAsia" w:ascii="宋体" w:hAnsi="宋体" w:eastAsia="宋体" w:cs="宋体"/>
          <w:i w:val="0"/>
          <w:caps w:val="0"/>
          <w:color w:val="auto"/>
          <w:spacing w:val="0"/>
          <w:sz w:val="24"/>
          <w:szCs w:val="24"/>
          <w:shd w:val="clear" w:color="auto" w:fill="FFFFFF"/>
        </w:rPr>
        <w:t>将指派</w:t>
      </w:r>
      <w:r>
        <w:rPr>
          <w:rFonts w:hint="eastAsia" w:ascii="宋体" w:hAnsi="宋体" w:eastAsia="宋体" w:cs="宋体"/>
          <w:i w:val="0"/>
          <w:caps w:val="0"/>
          <w:color w:val="auto"/>
          <w:spacing w:val="0"/>
          <w:sz w:val="24"/>
          <w:szCs w:val="24"/>
          <w:shd w:val="clear" w:color="auto" w:fill="FFFFFF"/>
          <w:lang w:val="en-US" w:eastAsia="zh-CN"/>
        </w:rPr>
        <w:t>实施人员</w:t>
      </w:r>
      <w:r>
        <w:rPr>
          <w:rFonts w:hint="eastAsia" w:ascii="宋体" w:hAnsi="宋体" w:eastAsia="宋体" w:cs="宋体"/>
          <w:i w:val="0"/>
          <w:caps w:val="0"/>
          <w:color w:val="auto"/>
          <w:spacing w:val="0"/>
          <w:sz w:val="24"/>
          <w:szCs w:val="24"/>
          <w:shd w:val="clear" w:color="auto" w:fill="FFFFFF"/>
        </w:rPr>
        <w:t>进行</w:t>
      </w:r>
      <w:r>
        <w:rPr>
          <w:rFonts w:hint="eastAsia" w:ascii="宋体" w:hAnsi="宋体" w:eastAsia="宋体" w:cs="宋体"/>
          <w:i w:val="0"/>
          <w:caps w:val="0"/>
          <w:color w:val="auto"/>
          <w:spacing w:val="0"/>
          <w:sz w:val="24"/>
          <w:szCs w:val="24"/>
          <w:shd w:val="clear" w:color="auto" w:fill="FFFFFF"/>
          <w:lang w:val="en-US" w:eastAsia="zh-CN"/>
        </w:rPr>
        <w:t>开餐前一周驻场服务，确保系统稳定</w:t>
      </w:r>
      <w:r>
        <w:rPr>
          <w:rFonts w:hint="eastAsia" w:ascii="宋体" w:hAnsi="宋体" w:eastAsia="宋体" w:cs="宋体"/>
          <w:i w:val="0"/>
          <w:caps w:val="0"/>
          <w:color w:val="auto"/>
          <w:spacing w:val="0"/>
          <w:sz w:val="24"/>
          <w:szCs w:val="24"/>
          <w:shd w:val="clear" w:color="auto"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sz w:val="24"/>
          <w:szCs w:val="24"/>
          <w:shd w:val="clear" w:color="auto" w:fill="FFFFFF"/>
          <w:lang w:val="en-US" w:eastAsia="zh-CN"/>
        </w:rPr>
        <w:t>项目服务到期后，年服务费金额不超过中标金额的10%。</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sz w:val="24"/>
          <w:szCs w:val="24"/>
        </w:rPr>
        <w:t>★</w:t>
      </w:r>
      <w:r>
        <w:rPr>
          <w:rFonts w:hint="eastAsia" w:ascii="宋体" w:hAnsi="宋体" w:eastAsia="宋体" w:cs="宋体"/>
          <w:i w:val="0"/>
          <w:caps w:val="0"/>
          <w:color w:val="auto"/>
          <w:spacing w:val="0"/>
          <w:kern w:val="0"/>
          <w:sz w:val="24"/>
          <w:szCs w:val="24"/>
          <w:shd w:val="clear" w:color="auto" w:fill="FFFFFF"/>
          <w:lang w:val="en-US" w:eastAsia="zh-CN" w:bidi="ar"/>
        </w:rPr>
        <w:t>（二）采购清单</w:t>
      </w:r>
    </w:p>
    <w:tbl>
      <w:tblPr>
        <w:tblStyle w:val="16"/>
        <w:tblW w:w="849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6"/>
        <w:gridCol w:w="2071"/>
        <w:gridCol w:w="3402"/>
        <w:gridCol w:w="1290"/>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序号</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类别</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名称</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2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病房订餐</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医院一床一码订餐软件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食堂订餐管理系统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食堂订餐排菜系统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食堂订餐备餐系统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5</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食堂订餐配送系统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6</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食堂手持订餐软件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7</w:t>
            </w:r>
          </w:p>
        </w:tc>
        <w:tc>
          <w:tcPr>
            <w:tcW w:w="2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档口消费</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食堂消费管理系统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8</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食堂卡码脸消费软件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 xml:space="preserve">9  </w:t>
            </w:r>
          </w:p>
        </w:tc>
        <w:tc>
          <w:tcPr>
            <w:tcW w:w="2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堂食点餐</w:t>
            </w:r>
          </w:p>
        </w:tc>
        <w:tc>
          <w:tcPr>
            <w:tcW w:w="34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食堂点餐管理系统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10</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食堂扫码点餐软件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11</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食堂台式点餐软件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12</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食堂自助点餐软件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13</w:t>
            </w:r>
          </w:p>
        </w:tc>
        <w:tc>
          <w:tcPr>
            <w:tcW w:w="207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院内商超</w:t>
            </w:r>
          </w:p>
        </w:tc>
        <w:tc>
          <w:tcPr>
            <w:tcW w:w="34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商超管理系统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14</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商超零售软件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15</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商超外卖软件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16</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食品留样</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食堂留样管理系统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17</w:t>
            </w:r>
          </w:p>
        </w:tc>
        <w:tc>
          <w:tcPr>
            <w:tcW w:w="2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进销存</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进销存管理系统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18</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台称出入库软件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19</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手持出入库软件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20</w:t>
            </w:r>
          </w:p>
        </w:tc>
        <w:tc>
          <w:tcPr>
            <w:tcW w:w="2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食堂管理</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食堂项目管理系统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21</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阳光公示大数据软件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22</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电子菜谱大数据软件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23</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智慧食安大数据软件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24</w:t>
            </w:r>
          </w:p>
        </w:tc>
        <w:tc>
          <w:tcPr>
            <w:tcW w:w="2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医院管理平台</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统一管理平台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25</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基础数据管理系统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26</w:t>
            </w:r>
          </w:p>
        </w:tc>
        <w:tc>
          <w:tcPr>
            <w:tcW w:w="20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职工补贴管理系统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27</w:t>
            </w:r>
          </w:p>
        </w:tc>
        <w:tc>
          <w:tcPr>
            <w:tcW w:w="207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配套硬件</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出入库智能秤</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28</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出入库手持机</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29</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一床一码</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张</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30</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手持订餐机</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31</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送餐车</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32</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标签打印机</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33</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小票打印机</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34</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卡码脸消费机</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35</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台式双屏点餐机</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36</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扫码设备</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37</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读卡设备</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38</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现金钱箱</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39</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立式自助点餐机</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40</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商超收银机</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41</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扫码枪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42</w:t>
            </w:r>
          </w:p>
        </w:tc>
        <w:tc>
          <w:tcPr>
            <w:tcW w:w="207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身份证识读器</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r>
    </w:tbl>
    <w:p>
      <w:pPr>
        <w:pStyle w:val="27"/>
        <w:pageBreakBefore w:val="0"/>
        <w:kinsoku/>
        <w:overflowPunct/>
        <w:topLinePunct w:val="0"/>
        <w:bidi w:val="0"/>
        <w:spacing w:line="360" w:lineRule="auto"/>
        <w:ind w:left="0" w:leftChars="0" w:firstLine="0" w:firstLineChars="0"/>
        <w:jc w:val="left"/>
        <w:rPr>
          <w:rFonts w:hint="eastAsia" w:ascii="宋体" w:hAnsi="宋体" w:eastAsia="宋体" w:cs="宋体"/>
          <w:b/>
          <w:bCs/>
          <w:color w:val="auto"/>
          <w:sz w:val="24"/>
          <w:szCs w:val="24"/>
          <w:highlight w:val="none"/>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27" w:lineRule="atLeast"/>
        <w:ind w:left="0" w:right="0" w:firstLine="420"/>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（三）技术要求</w:t>
      </w:r>
    </w:p>
    <w:tbl>
      <w:tblPr>
        <w:tblStyle w:val="16"/>
        <w:tblW w:w="827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
        <w:gridCol w:w="1240"/>
        <w:gridCol w:w="6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医院一床一码订餐软件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1、支持扫病房一床一码自动定位当前科室及床位，方便病人订餐；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2、支持扫科室通码时，用户必须补充选择下属床位信息；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3、支持显示院内多个食堂，用户可自由选择进入相应食堂订餐；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4、支持系统判断用户身份，非职工不能进入职工餐厅订餐；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5、支持一次性预订多日多餐段的菜品，用户可一次性合单支付；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6、支持根据订单按不同档口不同餐次自动拆单，便于后厨备餐；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7、支持根据原料用量展示每个菜品的主要营养成分；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8、支持部分特色菜品设置沽清后，订餐时显示剩余可预订量；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9、支持几选几套餐菜品展示，支持套餐统一价和按所选菜品合计价；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10、支持根据不同用户折扣，显示优惠金额；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11、支持用户充值钱包不足时，可与微信/支付宝进行组合支付；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12、支持展示电子会员码，在消费机及手持机上扣款；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13、支持用户不少于三个电子钱包，用于充值、补贴及临时奖励金额的钱款隔离；</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14、具有绑定实体餐卡，支持在线餐卡挂失；</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15、支持根据个人健康档案计算营养成分日摄入量范围；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16、支持用户在订餐订单规定时间里，完成自助退款；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17、支持用户在线进行意见反馈，也可查看后台回复；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18、支持多院区时，用户可自由切换院区订餐；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7"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食堂订餐管理系统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1、支持管理所有的预订餐订单，支持按状态、餐次、下单/配送日期等条件查询订单；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2、支持对预订餐订单进行部分和多次退款；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3、支持对预订餐订单进行补打订单小票；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4、支持按菜品、按档口统计订餐数据；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5、支持按档口绑定云打印机，订餐后实时出小票；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6、支持一个打印机打印多种小票，如点单票、后厨票等；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7、支持食堂设置预订餐提前预订天数；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8、支持食堂设置预订餐用订单户自助退款时间；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9、支持食堂设置预订餐起送金额；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10、支持食堂设置订餐时间结束后，是否允许手持机加餐；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7"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食堂订餐排菜系统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1、支持菜品库管理，可批量导入常用菜品；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2、支持对单个菜品名称、图片、单价、打包费等管理；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3、支持对单个菜品进行原料带量计算营养成分；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4、支持对菜品进行加工分组划分，便于后厨备餐；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5、支持对部分菜品进行沽清设置，防止菜品超卖；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6、支持将菜品设置为必点菜品；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7、支持设置套餐菜品，可任意设置几选几菜品；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8、支持按档口设置不同日期显示不同预订菜谱计划；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9、支持按档口设置部分菜品当天可预订，部分菜品需提前1日预订；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10、支持自定义排版早中晚餐的菜品，支持菜谱周计划预览；</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11、支持统计任意时间段内不同菜品的销量排行；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食堂订餐备餐系统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1、支持按备餐日期、备餐餐次查询详细备餐信息；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2、支持按不同档口打印备餐表；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3、支持按不同加工组打印备餐表；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4、支持按当日下单时间每隔一小时打印备餐表；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5、支持将备餐信息直接打印成A4备餐表；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6、支持在手持机上显示电子备餐表；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食堂订餐配送系统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1、支持餐车管理，可按餐车分配配送科室楼层；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2、支持餐车绑定手持机或平板设备，并在设备上查看装车表及发餐表；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3、具有餐车管理，每个餐车分配配送楼层及配送人员；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4、支持按配送日期、配送餐次进行打印发餐表；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5、支持按餐车打印装车表，显示该餐次配送楼层需要装的菜品及数量；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6、支持按单个配送楼层进行打印装车及发餐表；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7、支持按不同档口统计发餐装车表；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8、支持按下单时间区间打印装车及发餐表；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3"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食堂手持订餐软件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1、支持帮助病人一次性预订多日多餐次的餐食，并打印小票；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2、支持预订多个档口的餐食时，系统自动拆分到每个档3、口进行备餐；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3、支持代订餐订单扫用户微信、支付宝及电子会员码收款；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4、支持代订餐订单刷用户实体IC餐卡收款;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5、支持对代订餐订单进行小票补打；</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6、支持对代订餐订单进行退款操作；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7、支持直接输入金额，进行临时收款；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8、支持临时收款使用扫码、刷卡及现金等支付方式；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9、支持固定二维码收款，用户扫码支付；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10、支持对临时收款订单进行退款操作;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11、支持食堂绑定手持订餐机，支持食堂人员前往病房帮助病人订餐；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12、支持根据配送日期及配送餐次查看电子备餐表，包含菜品种类及数量；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13、支持根据配送日期及配送餐次查看电子发餐表，包含具体配送位置及菜品详情；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14、支持根据电子发餐表，点击配送完成操作；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15、支持查看营业统计数据，打印交班表小票；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7"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食堂消费管理系统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1、支持按档口绑定消费机，一个档口支持绑定多台消费机；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2、支持按消费机单独设置支持补贴钱包、充值钱包、微信、支付宝等付款方式；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3、支持按档口创建收款二维码，用户可扫码付款，支持微信、支付宝及钱包余额支付；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4、支持人工扣款，可选择任意用户进行余额扣款；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5、支持查看所有的消费订单及订单明细，支持导出；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6、支持消费订单在线退款，支持部分退款和全额退款；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7、支持按门店统计消费金额，支持导出；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8、支持按消费设备查询消费明细；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9、支持按消费二维码查询消费明细；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食堂卡码脸消费软件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1、支持收银员直接输入金额进行自由收款；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2、支持收银员设置定额消费模式，自动发起收款；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3、支持用户使用刷实体就餐卡消费；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4、支持用户使用刷人脸消费，支持刷脸扣餐补和支付宝金额；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5、支持用户使用刷微信、支付宝付款码及电子会员码消费；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6、支持扫微信及支付宝付款码进行退款；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9"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食堂点餐管理系统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1、支持查看所有的点餐订单，可按下单时间、不同餐次等多条件查询订单；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2、支持查看订单详情，对用户信息及订单信息和菜品明细进行展示；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3、支持对点餐订单进行多次或部分退款；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4、支持按菜品、按档口、按用户统计点餐数据；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5、支持按档口绑定云打印机，点餐后实时出小票；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6、支持一个打印机打印多种小票，如点单票、后厨票等；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7、支持查看打印机打印记录，支持取消打印和重新打印；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8、支持按档口绑定台式点餐机，支持直接堂食点餐；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9、支持一台点餐机点多个档口的餐食，系统自动拆分到每个档口制作；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10、支持设置点餐订单快捷备注；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11、支持设置堂食扫码点餐一桌一码地址；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12、支持设置自助点餐最低消费金额；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7"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食堂台式点餐软件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1、支持根据客户需要，选择菜品进行下单；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2、支持一次性点多个档口的菜品，下单后自动拆单到各档口备餐；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3、支持点餐订单使用实体卡、电子会员码、微信、支付宝付、现金等方式付款；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4、支持用户使用刷人脸付款，支持刷脸扣餐补和支付宝金额；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5、支持统计统计点餐订单各种支付方式的收款金额；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6、支持按时间、订单号及用户信息进行点餐订单查询；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7、支持对点餐订单进行退款操作；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8、支持刷卡查询用户信息及余额充值操作；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9、支持对用户进行办卡和换卡操作；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10、支持对用户进行销卡退款操作；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3"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食堂扫码点餐软件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1、支持扫桌码自动定位当前桌号，方便用户点餐；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2、支持切换不同档口进行点餐；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3、支持一次性点多个档口的订单，系统自动拆单，便于后厨备餐；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4、支持根据原料用量展示每个菜品的主要营养成分；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5、支持食堂用餐和打包外带模式，打包外带时需增加菜品打包费；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6、支持根据点餐订单添加备注信息；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7、支持用户充值钱包不足时，可与微信/支付宝进行组合支付；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3"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食堂自助点餐软件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1、支持一台设备绑定单个档口或多个档口的点餐菜谱；</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2、支持一次性点多个档口的菜品，下单后自动拆单到各档口备餐；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3、支持菜品详情显示营养成分等信息；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4、支持对点餐订单添加备注功能；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5、支持微信，支付宝，电子会码及实体卡付款；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6、支持点餐成功后，显示取餐号；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7、支持点餐成功后，自动打印点餐小票；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5"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商超管理系统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1、支持商品的快速导入；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2、支持设置商品的库存及销售模式（门店零售或科室外卖）；</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3、支持设置商品的库存预警及可见权限（职工或非职工）；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4、支持超市商品的盘点记录批量导入；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5、支持超市的收银机及打印机管理；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6、支持超市订单的管理，包含零售订单及外卖配送订单；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7、支持超市的营业统计，可查看微信/支付宝/餐补/现金8、等收款情况；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9、支持统计每个商品在一定时间内的销量统计；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10、支持设置超市外卖的最低配送价及配送时间段等；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9"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商超零售软件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1、支持扫描条码，自动识别商品；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2、支持根据商品分类，手动筛选商品;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3、支持直接选中商品，进行订单确认；</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4、支持超市订单使用实体卡、电子会员码、微信、支付宝付、现金等方式付款；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5、支持用户使用刷人脸付款，支持刷脸扣餐补和支付宝金额；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6、支持统计统计超市订单各种支付方式的收款金额；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7、支持按时间、订单号及用户信息进行超市订单查询；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商超外卖软件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1、支持根据用户所在院区展示对应线上超市；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2、支持根据超市外卖商品分类进行商品筛选；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3、支持用户选择配送科室及床位区域；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4、支持用户选择预计配送时间；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5、支持使用充值钱包、补贴钱包付款；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6、支持直接使用微信或支付宝付款；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16</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食堂留样管理系统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1、支持留样时间，餐次，菜品，重量等关键信息录入，生成留样台账；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2、支持根据排菜系统自动调取当日的菜品，进行批量留样打印；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3、支持留样菜品时支持图片上传及留样记录标签打印；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4、支持留样菜品时间超过规定时间后，可后台一键生成销毁台账；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5、支持留样柜及留样人员管理；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7"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进销存管理系统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1、支持供应商管理，可记录供应商的基本信息及证件资质；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2、支持新增采购订单，采购内容包含供应商，仓库，菜品名，采购单价及数量等信息；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3、支持通过菜谱及订餐表进行原料反算，快速生产采购单；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4、支持采购订单审核操作，审核时可调整采购内容项；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5、支持针对采购订单进行入库操作，同一个菜品支持多次入库，支持生成不同的批次号；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6、支持基于采购入库，即入即出，领料退库等操作生成详细的入库记录；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7、支持创建领料出库出库单，支持同一商品按批次进行出库；</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8、支持基于领料出库，盘亏出库等操作生成详细的出库记录；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9、支持按仓库进行库存盘点，如有盘亏，盘盈等情况时，自动生成出入库记录；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10、支持原料设置库存预警阈值，达到阈值自动预警；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11、支持原料按批次设置到期时间，自动临期提醒；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12、支持手持出入库机及台式出入库称的管理；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13、支持仓库及原料商品的管理；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台称出入库软件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1、支持针对采购订单进行入库，自动称重入库商品并拍照上传，生成入库记录；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2、支持针对入库商品设置入库数量，生产日期，到期日期等操作；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3、支持选择仓库快捷创建出库单，按批次添加出库商品；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4、支持查看基于采购入库等操作生成详细的入库记录；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5、支持查看基于领料出库等操作生成详细的出库记录；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手持出入库软件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1、支持针对采购订单进行入库，支持扫码快速入库采购商品；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2、支持针对入库商品设置入库数量，生产日期，到期日期及拍照上传等操作；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3、支持快捷创建出库单，支持扫码添加和搜索添加出库商品；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4、支持查看基于采购入库等操作生成详细的入库记录；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5、支持查看基于领料出库等操作生成详细的出库记录；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食堂项目管理系统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1、支持管理食堂所有工作人员的基本信息；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2、支持刷身份证快速办理食堂人员的入职；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3、具有管理食堂所有人员的健康证，到期自动提醒预警；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4、支持管理食堂所有人员的证件资质，如厨师证、营养师证等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5、具有记录食堂工作人员的入职、转正、调岗调薪及离职等信息；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6、支持填写当前团餐项目的食安档案，包含公司信息，食品经营许可证等；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7、支持查看所有用户的意见反馈，可针对反馈进行回复；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阳光公示大数据软件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1、支持统计今日就餐人数及就餐人次；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2、支持早餐，午餐，完成的就餐餐次数据；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3、支持统计本周的就餐满意度；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4、支持统计今日最受欢迎的菜品；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5、支持查看当日各时段的就餐人次趋势图；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6、支持查看当日病房订单，堂食点餐及档口消费的占比；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电子菜谱大数据软件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1、支持查看当日早餐，午餐及晚餐供应菜品及价格；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2、支持自动统计今日各餐次的菜品更新率；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3、支持展示部分菜品的营养成分，包含热量，脂肪，蛋白质及碳水化合物等信息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智慧食安大数据软件</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1、支持展示本食堂工作人员的健康证信息，包括临期，到期等提醒内容；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2、支持展示食堂进销存的基本信息，包含出入库类型及时间等信息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3、支持展示食堂留样信息，包含日期，餐次，留样菜品及留样状态等信息；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统一管理平台</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1、支持统一工作台模式，根据账号功能权限，展示管理子系统；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2、支持根据账号数据权限，展示不同商家的站点信息；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3、支持管理账号绑定微信，可直接通过扫码二维码快速登录；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4、支持管理账号自行修改密码，手机号及头像等信息；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6"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基础数据管理系统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1、支持管理医院内所有食堂、超市等门店商家；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2、支持食堂档口管理，可自定义新增编辑档口信息；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3、支持设定食堂或档口，仅职工可见；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4、支持不同食堂/门店绑定不同收款商家；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5、支持设置医院统一收款账号，也支持设置院内各商家独立收款；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6、支持按职工/非职工在早中晚餐享受不同折扣优惠比例；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7、支持按固定折扣、固定减免金额、固定消费金额设置折扣；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8、支持统一管理云打印机、消费机、点餐机、订餐机等智能设备；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9、支持按不同食堂、不同支付方式统计收款明细，支持导出；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10、支持按不同收款商家、不同支付方式统计收款明细，11、支持导出；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12、支持统计充值明细，包含充值总额，消费总额及提现金额，支持导出；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13、支持设置早中晚餐次，支持设置订餐截至时间及配送时间；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14、支持按不同餐次限制每日补贴消费次数及消费总额；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15、支持设置三级配送地址，包含楼栋楼层科室床位等信息；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16、支持给配送地址分配一床一码，扫码能自动定位科室床位；</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17、支持住院病人及陪护家属用户管理；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18、支持内部职工用户管理；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19、支持正式工、规培生、三方人员等用户角色管理；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20、支持全院行政科室及治疗科室部门组织架构管理；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21、支持医院住院病区及病床管理；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22、支持用户的补贴钱包、充值钱包、奖励钱包管理；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23、支持对用户进行开卡绑卡、补卡换卡、挂失冻结、退卡销卡等操作；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24、支持一个总院开设多个分院区的基础管理架构；</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25、支持每个分院管理各自不同商户的基础管理架构；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5"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26</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职工补贴管理系统</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1、支持所有职工管理，可批量导入职工数据；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2、支持职工入离职及调科室等人事变动记录；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3、支持查看所有职工的餐补余额，可进行餐补手动增减；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4、支持职工餐补调整记录查询；</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5、支持excel导入餐补信息后，设置定时发放；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6、支持查询餐补发放记录；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7、支持按每日、每月、每年等方式设置餐补清零策略；</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8、支持按部门、分组及个人进行批量清零；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9、支持查询餐补清零记录；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10、支持按早中晚餐统计餐补消耗次数及金额；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w:t>
            </w:r>
            <w:r>
              <w:rPr>
                <w:rFonts w:hint="eastAsia" w:ascii="宋体" w:hAnsi="宋体" w:eastAsia="宋体" w:cs="宋体"/>
                <w:i w:val="0"/>
                <w:iCs w:val="0"/>
                <w:color w:val="000000"/>
                <w:kern w:val="0"/>
                <w:sz w:val="24"/>
                <w:szCs w:val="24"/>
                <w:u w:val="none"/>
                <w:lang w:val="en-US" w:eastAsia="zh-CN" w:bidi="ar"/>
              </w:rPr>
              <w:t>11、支持每月自动生成餐补月度汇总表及明细表，详细记录期初期末餐补余额；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12、支持按科室统计餐补消费情况，便于财务做餐补成本分摊；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13、支持查询过去任意时间点，当时的餐补情况，用于消费核查；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出入库智能秤</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1、最大量程：≥100kg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2、显示分度值：±20g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3、液晶屏：≥12寸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4、支持无线 wifi 模块和标配网口模块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5、具备自动拍照功能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出入库手持机</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1、内置高速热敏打印机；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2、网络类型：支持2G&amp;3G&amp;4G网络/Wi-Fi2.4G/5G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3、防护等级：≥1.2m跌落测试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一床一码</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1、材质：亚克力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2、尺寸：≥10cm*10cm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3、工艺：彩印/圆角/亮光/背胶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手持订餐机</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1、内置高速热敏打印机；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2、网络类型：支持2G&amp;3G&amp;4G网络/Wi-Fi2.4G/5G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3、防护等级：≥1.2m跌落测试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送餐车</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1、材质：PP材料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2、边角：铝合金钢管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3、尺寸：≥长1000mm*宽500mm*高1000mm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4、层数：≥3层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5、轮毂：静音万向轮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标签打印机</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1、打印纸：20-112mm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2、打印宽度：≤108mm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3、卷纸容量：外径≤127mm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4、分辨率：≥8dots/mm{203DP}</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5、打印速度≥102mm/s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小票打印机</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1、功能方式：切刀，手动撕纸；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2、打印方式：热敏打印；</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3、打印纸，57mm热敏纸；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卡码脸消费机</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1、显示屏：电容式多点触控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2、蓝牙：支持蓝牙</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3、具备人脸识别；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35</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台式双屏点餐机</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1、前后双大屏，一主一副，可查看消费清单和金额；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36</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扫码设备</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1、识读精度：二维&gt;10mil</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2、具备提示：LED指示/蜂鸣器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37</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读卡设备</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1、读卡类型：MF\S50\S70等14443A协议标签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2、读卡时间：&lt;100M5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3、读卡速度：≤0.2S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4、读卡间距：≤0.5S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38</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现金钱箱</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1、箱体：塑料+金属复合箱体</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2、纸币格：4纸币格、1大钞格、3硬币格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3、金属滚轮：最大承重10Kg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39</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立式自助点餐机</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1、屏幕规格：≥21.5寸，分辨率1080*1920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2、摄像头：双目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40</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商超收银机</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1、前后双大屏，一主一副，可查看消费清单和金额；</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2、主显示屏：≥15.6"HD，1366*768/FHD，1920*1080电容多点触摸；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3、副显示屏：≥10.1"HD，1024*600；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扫码枪</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1、视场角度：水平≥45°，垂直≥34°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身份证识读器</w:t>
            </w:r>
          </w:p>
        </w:tc>
        <w:tc>
          <w:tcPr>
            <w:tcW w:w="6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1、最大扫描范围：5cm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2、正常扫描身份证时间：1（S）</w:t>
            </w:r>
          </w:p>
          <w:p>
            <w:pPr>
              <w:pStyle w:val="2"/>
              <w:rPr>
                <w:rFonts w:hint="eastAsia"/>
                <w:lang w:val="en-US" w:eastAsia="zh-CN"/>
              </w:rPr>
            </w:pPr>
          </w:p>
        </w:tc>
      </w:tr>
    </w:tbl>
    <w:p>
      <w:pPr>
        <w:pageBreakBefore w:val="0"/>
        <w:kinsoku/>
        <w:overflowPunct/>
        <w:topLinePunct w:val="0"/>
        <w:bidi w:val="0"/>
        <w:spacing w:line="360" w:lineRule="auto"/>
        <w:rPr>
          <w:rFonts w:hint="eastAsia" w:ascii="宋体" w:hAnsi="宋体" w:eastAsia="宋体" w:cs="宋体"/>
          <w:b/>
          <w:bCs/>
          <w:i w:val="0"/>
          <w:caps w:val="0"/>
          <w:color w:val="auto"/>
          <w:spacing w:val="0"/>
          <w:kern w:val="0"/>
          <w:sz w:val="24"/>
          <w:szCs w:val="24"/>
          <w:shd w:val="clear" w:color="auto" w:fill="FFFFFF"/>
          <w:lang w:val="en-US" w:eastAsia="zh-CN" w:bidi="ar"/>
        </w:rPr>
      </w:pPr>
      <w:bookmarkStart w:id="0" w:name="_Toc11764057"/>
      <w:bookmarkStart w:id="1" w:name="_Toc13564324"/>
      <w:bookmarkStart w:id="2" w:name="_Toc11832169"/>
    </w:p>
    <w:p>
      <w:pPr>
        <w:pageBreakBefore w:val="0"/>
        <w:kinsoku/>
        <w:overflowPunct/>
        <w:topLinePunct w:val="0"/>
        <w:bidi w:val="0"/>
        <w:spacing w:line="360" w:lineRule="auto"/>
        <w:rPr>
          <w:rFonts w:hint="eastAsia" w:ascii="宋体" w:hAnsi="宋体" w:eastAsia="宋体" w:cs="宋体"/>
          <w:b/>
          <w:bCs/>
          <w:i w:val="0"/>
          <w:caps w:val="0"/>
          <w:color w:val="auto"/>
          <w:spacing w:val="0"/>
          <w:kern w:val="0"/>
          <w:sz w:val="24"/>
          <w:szCs w:val="24"/>
          <w:shd w:val="clear" w:color="auto" w:fill="FFFFFF"/>
          <w:lang w:val="en-US" w:eastAsia="zh-CN" w:bidi="ar"/>
        </w:rPr>
      </w:pPr>
      <w:r>
        <w:rPr>
          <w:rFonts w:hint="eastAsia" w:ascii="宋体" w:hAnsi="宋体" w:eastAsia="宋体" w:cs="宋体"/>
          <w:b/>
          <w:bCs/>
          <w:i w:val="0"/>
          <w:caps w:val="0"/>
          <w:color w:val="auto"/>
          <w:spacing w:val="0"/>
          <w:kern w:val="0"/>
          <w:sz w:val="24"/>
          <w:szCs w:val="24"/>
          <w:shd w:val="clear" w:color="auto" w:fill="FFFFFF"/>
          <w:lang w:val="en-US" w:eastAsia="zh-CN" w:bidi="ar"/>
        </w:rPr>
        <w:t>三、综合评分</w:t>
      </w:r>
      <w:bookmarkEnd w:id="0"/>
      <w:bookmarkEnd w:id="1"/>
      <w:bookmarkEnd w:id="2"/>
    </w:p>
    <w:p>
      <w:pPr>
        <w:snapToGrid w:val="0"/>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项目采用综合评分法，评分统计方法采用百分制（满分100分），将全部评委评分直接进行算术平均，小数点后保留2位。</w:t>
      </w:r>
    </w:p>
    <w:p>
      <w:pPr>
        <w:pStyle w:val="2"/>
        <w:rPr>
          <w:rFonts w:hint="eastAsia" w:ascii="宋体" w:hAnsi="宋体" w:eastAsia="宋体" w:cs="宋体"/>
          <w:kern w:val="0"/>
          <w:sz w:val="24"/>
          <w:szCs w:val="24"/>
        </w:rPr>
      </w:pPr>
    </w:p>
    <w:p>
      <w:pPr>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rPr>
          <w:rFonts w:hint="eastAsia"/>
        </w:rPr>
      </w:pPr>
    </w:p>
    <w:tbl>
      <w:tblPr>
        <w:tblStyle w:val="1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853"/>
        <w:gridCol w:w="3619"/>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333" w:type="dxa"/>
            <w:gridSpan w:val="2"/>
            <w:noWrap w:val="0"/>
            <w:vAlign w:val="center"/>
          </w:tcPr>
          <w:p>
            <w:pPr>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评分因素</w:t>
            </w:r>
          </w:p>
        </w:tc>
        <w:tc>
          <w:tcPr>
            <w:tcW w:w="3619" w:type="dxa"/>
            <w:noWrap w:val="0"/>
            <w:vAlign w:val="center"/>
          </w:tcPr>
          <w:p>
            <w:pPr>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c>
          <w:tcPr>
            <w:tcW w:w="1695" w:type="dxa"/>
            <w:noWrap w:val="0"/>
            <w:vAlign w:val="center"/>
          </w:tcPr>
          <w:p>
            <w:pPr>
              <w:adjustRightInd w:val="0"/>
              <w:snapToGrid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3333" w:type="dxa"/>
            <w:gridSpan w:val="2"/>
            <w:noWrap w:val="0"/>
            <w:vAlign w:val="center"/>
          </w:tcPr>
          <w:p>
            <w:pPr>
              <w:adjustRightInd w:val="0"/>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0分)</w:t>
            </w:r>
          </w:p>
          <w:p>
            <w:pPr>
              <w:adjustRightInd w:val="0"/>
              <w:snapToGrid w:val="0"/>
              <w:spacing w:line="360" w:lineRule="auto"/>
              <w:jc w:val="left"/>
              <w:rPr>
                <w:rFonts w:hint="eastAsia" w:ascii="宋体" w:hAnsi="宋体" w:eastAsia="宋体" w:cs="宋体"/>
                <w:sz w:val="24"/>
                <w:szCs w:val="24"/>
                <w:highlight w:val="none"/>
              </w:rPr>
            </w:pPr>
          </w:p>
        </w:tc>
        <w:tc>
          <w:tcPr>
            <w:tcW w:w="3619" w:type="dxa"/>
            <w:noWrap w:val="0"/>
            <w:vAlign w:val="center"/>
          </w:tcPr>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采用低价优先法计算，即满足招标文件要求且投标价格低的投标报价为评标基准价，其价格分为满分。其他供应商的价格分按照下列公式计算（小数点后保留二位）：投标报价得分=（评标基准价/投标报价）*</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0。</w:t>
            </w:r>
          </w:p>
        </w:tc>
        <w:tc>
          <w:tcPr>
            <w:tcW w:w="1695" w:type="dxa"/>
            <w:noWrap w:val="0"/>
            <w:vAlign w:val="center"/>
          </w:tcPr>
          <w:p>
            <w:pPr>
              <w:adjustRightInd w:val="0"/>
              <w:snapToGrid w:val="0"/>
              <w:spacing w:line="360" w:lineRule="auto"/>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33" w:type="dxa"/>
            <w:gridSpan w:val="2"/>
            <w:noWrap w:val="0"/>
            <w:vAlign w:val="center"/>
          </w:tcPr>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技术评分标准（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tc>
        <w:tc>
          <w:tcPr>
            <w:tcW w:w="3619" w:type="dxa"/>
            <w:noWrap w:val="0"/>
            <w:vAlign w:val="center"/>
          </w:tcPr>
          <w:p>
            <w:pPr>
              <w:adjustRightInd w:val="0"/>
              <w:snapToGrid w:val="0"/>
              <w:spacing w:line="360" w:lineRule="auto"/>
              <w:jc w:val="left"/>
              <w:rPr>
                <w:rFonts w:hint="eastAsia" w:ascii="宋体" w:hAnsi="宋体" w:eastAsia="宋体" w:cs="宋体"/>
                <w:color w:val="FF0000"/>
                <w:sz w:val="24"/>
                <w:szCs w:val="24"/>
                <w:highlight w:val="none"/>
                <w:lang w:eastAsia="zh-CN"/>
              </w:rPr>
            </w:pPr>
            <w:r>
              <w:rPr>
                <w:rFonts w:hint="eastAsia" w:ascii="宋体" w:hAnsi="宋体" w:eastAsia="宋体" w:cs="宋体"/>
                <w:sz w:val="24"/>
                <w:szCs w:val="24"/>
                <w:highlight w:val="none"/>
              </w:rPr>
              <w:t>1、投标人针对招标文件第五章“二、技术服务要求”中一般技术参数条款的响应得分规则如下：（一般技术参数条款指未标注“▲”或“★”） 一般技术参数条款响应得分=（投标人满足一般技术参数条款的数量÷一般技术参数条款的总数量）×10分。 2、投标人针对招标文件第五章“二、技术服务要求”中“▲”技术参数条款的响应得分规则如下： “▲”技术参数条款响应得分=（投标人满足“▲”技术参数条款的数量÷“▲”技术参数条款的总数量）×</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0分。 注： ①针对技术条款的技术响应，如果招标文件第五章“二、建设服务、技术内容”中技术参数条款对技术支撑材料有要求，应按要求提供，否则对应技术参数条款将视为不满足。 ②以“技术要求”一级序号数字（如 “1.”“2.”“3.”……）为一项（标题除外）；数字序号下有多级序号的，以最小级数字序号为1项。 ③“★”条款为实质性要求，不纳入本项评分。 ④技术支撑材料编制于第七章投标文件格式-《供应商认为需要提供的其他证明材料》</w:t>
            </w:r>
          </w:p>
        </w:tc>
        <w:tc>
          <w:tcPr>
            <w:tcW w:w="1695" w:type="dxa"/>
            <w:noWrap w:val="0"/>
            <w:vAlign w:val="center"/>
          </w:tcPr>
          <w:p>
            <w:pPr>
              <w:adjustRightInd w:val="0"/>
              <w:snapToGrid w:val="0"/>
              <w:spacing w:line="360" w:lineRule="auto"/>
              <w:jc w:val="left"/>
              <w:rPr>
                <w:rFonts w:hint="eastAsia" w:ascii="宋体" w:hAnsi="宋体" w:eastAsia="宋体" w:cs="宋体"/>
                <w:color w:val="FF0000"/>
                <w:sz w:val="24"/>
                <w:szCs w:val="24"/>
                <w:highlight w:val="none"/>
                <w:lang w:eastAsia="zh-CN"/>
              </w:rPr>
            </w:pPr>
            <w:r>
              <w:rPr>
                <w:rFonts w:hint="eastAsia" w:ascii="宋体" w:hAnsi="宋体" w:eastAsia="宋体" w:cs="宋体"/>
                <w:color w:val="FF0000"/>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color w:val="FF0000"/>
                <w:sz w:val="24"/>
                <w:szCs w:val="24"/>
                <w:highlight w:val="none"/>
                <w:lang w:eastAsia="zh-CN"/>
              </w:rPr>
              <w:t>”技术条款须</w:t>
            </w:r>
            <w:r>
              <w:rPr>
                <w:rFonts w:hint="eastAsia" w:ascii="宋体" w:hAnsi="宋体" w:eastAsia="宋体" w:cs="宋体"/>
                <w:color w:val="FF0000"/>
                <w:sz w:val="24"/>
                <w:szCs w:val="24"/>
                <w:highlight w:val="none"/>
                <w:lang w:val="en-US" w:eastAsia="zh-CN"/>
              </w:rPr>
              <w:t>单独</w:t>
            </w:r>
            <w:r>
              <w:rPr>
                <w:rFonts w:hint="eastAsia" w:ascii="宋体" w:hAnsi="宋体" w:eastAsia="宋体" w:cs="宋体"/>
                <w:color w:val="FF0000"/>
                <w:sz w:val="24"/>
                <w:szCs w:val="24"/>
                <w:highlight w:val="none"/>
                <w:lang w:eastAsia="zh-CN"/>
              </w:rPr>
              <w:t>提供应用页面截图并加盖生产厂商公章和供应商公章作为技术佐证，不能提供或者提供材料不能佐证技术条款的视为该条不满足招标要求，该条技术参数不得分。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0" w:type="dxa"/>
            <w:vMerge w:val="restart"/>
            <w:noWrap w:val="0"/>
            <w:vAlign w:val="center"/>
          </w:tcPr>
          <w:p>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评分标准（</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tc>
        <w:tc>
          <w:tcPr>
            <w:tcW w:w="1853" w:type="dxa"/>
            <w:noWrap w:val="0"/>
            <w:vAlign w:val="center"/>
          </w:tcPr>
          <w:p>
            <w:pPr>
              <w:adjustRightInd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w:t>
            </w: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c>
          <w:tcPr>
            <w:tcW w:w="3619" w:type="dxa"/>
            <w:noWrap w:val="0"/>
            <w:vAlign w:val="center"/>
          </w:tcPr>
          <w:p>
            <w:pPr>
              <w:adjustRightInd w:val="0"/>
              <w:snapToGrid w:val="0"/>
              <w:spacing w:line="360" w:lineRule="auto"/>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投标人应提供符合项目建设目标和用户需求、技术架构先进的项目实施方案，包含但不限于：</w:t>
            </w:r>
          </w:p>
          <w:p>
            <w:pPr>
              <w:pStyle w:val="6"/>
              <w:ind w:firstLine="36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①项目定位与具体建设目标、项目存在的重难点问题及应对措施；</w:t>
            </w:r>
          </w:p>
          <w:p>
            <w:pPr>
              <w:adjustRightInd w:val="0"/>
              <w:snapToGrid w:val="0"/>
              <w:spacing w:line="360" w:lineRule="auto"/>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②系统总体架构与集成架构；</w:t>
            </w:r>
          </w:p>
          <w:p>
            <w:pPr>
              <w:adjustRightInd w:val="0"/>
              <w:snapToGrid w:val="0"/>
              <w:spacing w:line="360" w:lineRule="auto"/>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③满足项目需求的核心应用；</w:t>
            </w:r>
          </w:p>
          <w:p>
            <w:pPr>
              <w:adjustRightInd w:val="0"/>
              <w:snapToGrid w:val="0"/>
              <w:spacing w:line="360" w:lineRule="auto"/>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④项目管理计划(包括但不限于人员、进度、质量、应急)等。</w:t>
            </w:r>
          </w:p>
          <w:p>
            <w:pPr>
              <w:numPr>
                <w:ilvl w:val="0"/>
                <w:numId w:val="0"/>
              </w:numPr>
              <w:adjustRightInd w:val="0"/>
              <w:snapToGrid w:val="0"/>
              <w:spacing w:line="360" w:lineRule="auto"/>
              <w:ind w:left="0" w:leftChars="0" w:firstLine="0" w:firstLineChars="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根据供应商针对上述四个方面内容在响应文件中的响应情况进行综合评审：其中每有一方面内容满足要求的得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该方面中每有一处存在缺陷的扣2分；每少一方面内容的该方面内容不得分（缺陷是指存在项目名称错误、地点区域错误、内容与本项目需求无关、方案内容矛盾或表述前后不一致、仅有框架或标题、适用的标准（方法）错误、明显复制其他项目内容等任意一种情形）；本项最多得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 xml:space="preserve">分。   </w:t>
            </w:r>
            <w:r>
              <w:rPr>
                <w:rFonts w:hint="eastAsia" w:ascii="宋体" w:hAnsi="宋体" w:eastAsia="宋体" w:cs="宋体"/>
                <w:color w:val="000000"/>
                <w:sz w:val="24"/>
                <w:szCs w:val="24"/>
                <w:highlight w:val="none"/>
              </w:rPr>
              <w:t xml:space="preserve"> </w:t>
            </w:r>
          </w:p>
        </w:tc>
        <w:tc>
          <w:tcPr>
            <w:tcW w:w="1695" w:type="dxa"/>
            <w:noWrap w:val="0"/>
            <w:vAlign w:val="center"/>
          </w:tcPr>
          <w:p>
            <w:pPr>
              <w:numPr>
                <w:ilvl w:val="0"/>
                <w:numId w:val="0"/>
              </w:numPr>
              <w:adjustRightInd w:val="0"/>
              <w:snapToGrid w:val="0"/>
              <w:spacing w:line="360" w:lineRule="auto"/>
              <w:jc w:val="lef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0" w:type="dxa"/>
            <w:vMerge w:val="continue"/>
            <w:noWrap w:val="0"/>
            <w:vAlign w:val="center"/>
          </w:tcPr>
          <w:p>
            <w:pPr>
              <w:adjustRightInd w:val="0"/>
              <w:snapToGrid w:val="0"/>
              <w:spacing w:line="360" w:lineRule="auto"/>
              <w:jc w:val="left"/>
              <w:rPr>
                <w:rFonts w:hint="eastAsia" w:ascii="宋体" w:hAnsi="宋体" w:eastAsia="宋体" w:cs="宋体"/>
                <w:color w:val="000000"/>
                <w:sz w:val="24"/>
                <w:szCs w:val="24"/>
                <w:highlight w:val="none"/>
              </w:rPr>
            </w:pPr>
          </w:p>
        </w:tc>
        <w:tc>
          <w:tcPr>
            <w:tcW w:w="1853" w:type="dxa"/>
            <w:noWrap w:val="0"/>
            <w:vAlign w:val="center"/>
          </w:tcPr>
          <w:p>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售后运维服务方案</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3619" w:type="dxa"/>
            <w:noWrap w:val="0"/>
            <w:vAlign w:val="center"/>
          </w:tcPr>
          <w:p>
            <w:pPr>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投标人应提供针对本项目的售后服务方案，包含但不限于：①服务响应内容及服务保障；②培训服务；③应急响应等。</w:t>
            </w:r>
          </w:p>
          <w:p>
            <w:pPr>
              <w:numPr>
                <w:ilvl w:val="0"/>
                <w:numId w:val="0"/>
              </w:num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根据供应商针对上述三个方面内容在响应文件中的响应情况进行综合评审：其中每有一方面内容满足要求的得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分，该方面中每有一处存在不足的扣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每有一方面内容缺失的该方面内容不得分（缺陷是指存在项目名称错误、地点区域错误、内容与本项目需求无关、方案内容矛盾或表述前后不一致、仅有框架或标题、适用的标准（方法）错误、明显复制其他项目内容等任意一种情形）；本项最多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c>
          <w:tcPr>
            <w:tcW w:w="1695" w:type="dxa"/>
            <w:noWrap w:val="0"/>
            <w:vAlign w:val="center"/>
          </w:tcPr>
          <w:p>
            <w:pPr>
              <w:numPr>
                <w:ilvl w:val="0"/>
                <w:numId w:val="0"/>
              </w:numPr>
              <w:adjustRightInd w:val="0"/>
              <w:snapToGrid w:val="0"/>
              <w:spacing w:line="360" w:lineRule="auto"/>
              <w:jc w:val="lef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480" w:type="dxa"/>
            <w:vMerge w:val="restart"/>
            <w:noWrap w:val="0"/>
            <w:vAlign w:val="center"/>
          </w:tcPr>
          <w:p>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商务</w:t>
            </w:r>
            <w:r>
              <w:rPr>
                <w:rFonts w:hint="eastAsia" w:ascii="宋体" w:hAnsi="宋体" w:eastAsia="宋体" w:cs="宋体"/>
                <w:sz w:val="24"/>
                <w:szCs w:val="24"/>
                <w:highlight w:val="none"/>
              </w:rPr>
              <w:t>评分标准（</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tc>
        <w:tc>
          <w:tcPr>
            <w:tcW w:w="1853" w:type="dxa"/>
            <w:noWrap w:val="0"/>
            <w:vAlign w:val="center"/>
          </w:tcPr>
          <w:p>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供应商综合实力</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c>
          <w:tcPr>
            <w:tcW w:w="3619" w:type="dxa"/>
            <w:noWrap w:val="0"/>
            <w:vAlign w:val="center"/>
          </w:tcPr>
          <w:p>
            <w:pPr>
              <w:pStyle w:val="28"/>
              <w:adjustRightInd w:val="0"/>
              <w:snapToGrid w:val="0"/>
              <w:spacing w:line="360" w:lineRule="auto"/>
              <w:ind w:firstLine="0" w:firstLineChars="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投标人所投软件产品获得产品软件著作权，1项</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分，满分</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c>
          <w:tcPr>
            <w:tcW w:w="1695" w:type="dxa"/>
            <w:noWrap w:val="0"/>
            <w:vAlign w:val="center"/>
          </w:tcPr>
          <w:p>
            <w:pPr>
              <w:pStyle w:val="28"/>
              <w:adjustRightInd w:val="0"/>
              <w:snapToGrid w:val="0"/>
              <w:spacing w:line="360" w:lineRule="auto"/>
              <w:ind w:firstLine="0" w:firstLineChars="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480" w:type="dxa"/>
            <w:vMerge w:val="continue"/>
            <w:noWrap w:val="0"/>
            <w:vAlign w:val="center"/>
          </w:tcPr>
          <w:p>
            <w:pPr>
              <w:adjustRightInd w:val="0"/>
              <w:snapToGrid w:val="0"/>
              <w:spacing w:line="360" w:lineRule="auto"/>
              <w:jc w:val="left"/>
              <w:rPr>
                <w:rFonts w:hint="eastAsia" w:ascii="宋体" w:hAnsi="宋体" w:eastAsia="宋体" w:cs="宋体"/>
                <w:color w:val="000000"/>
                <w:sz w:val="24"/>
                <w:szCs w:val="24"/>
                <w:highlight w:val="none"/>
              </w:rPr>
            </w:pPr>
          </w:p>
        </w:tc>
        <w:tc>
          <w:tcPr>
            <w:tcW w:w="1853" w:type="dxa"/>
            <w:noWrap w:val="0"/>
            <w:vAlign w:val="center"/>
          </w:tcPr>
          <w:p>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项目产品业绩案例（</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3619" w:type="dxa"/>
            <w:noWrap w:val="0"/>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投标人所投产品202</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年1月1日起至今的智慧食堂业绩合同，每个业绩应具备“智慧食堂”相关服务。提供合同扫描件。每一个业绩得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分，最高得</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1695" w:type="dxa"/>
            <w:noWrap w:val="0"/>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宋体" w:eastAsia="宋体" w:cs="宋体"/>
                <w:color w:val="000000"/>
                <w:sz w:val="24"/>
                <w:szCs w:val="24"/>
                <w:highlight w:val="none"/>
              </w:rPr>
            </w:pPr>
          </w:p>
        </w:tc>
      </w:tr>
    </w:tbl>
    <w:p>
      <w:pPr>
        <w:pStyle w:val="4"/>
        <w:pageBreakBefore w:val="0"/>
        <w:widowControl/>
        <w:shd w:val="clear" w:color="auto" w:fill="FFFFFF"/>
        <w:kinsoku/>
        <w:overflowPunct/>
        <w:topLinePunct w:val="0"/>
        <w:bidi w:val="0"/>
        <w:spacing w:beforeAutospacing="0" w:afterAutospacing="0" w:line="360" w:lineRule="auto"/>
        <w:rPr>
          <w:rFonts w:hint="eastAsia" w:ascii="宋体" w:hAnsi="宋体" w:eastAsia="宋体" w:cs="宋体"/>
          <w:sz w:val="24"/>
          <w:szCs w:val="24"/>
        </w:rPr>
      </w:pPr>
    </w:p>
    <w:p>
      <w:pPr>
        <w:pageBreakBefore w:val="0"/>
        <w:kinsoku/>
        <w:overflowPunct/>
        <w:topLinePunct w:val="0"/>
        <w:bidi w:val="0"/>
        <w:spacing w:line="360" w:lineRule="auto"/>
        <w:rPr>
          <w:rFonts w:hint="eastAsia" w:ascii="宋体" w:hAnsi="宋体" w:eastAsia="宋体" w:cs="宋体"/>
          <w:sz w:val="24"/>
          <w:szCs w:val="24"/>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lang w:val="en-US" w:eastAsia="zh-CN"/>
        </w:rPr>
        <w:t>2-1</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16"/>
        <w:tblW w:w="891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1220"/>
        <w:gridCol w:w="2687"/>
        <w:gridCol w:w="750"/>
        <w:gridCol w:w="925"/>
        <w:gridCol w:w="925"/>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类别</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名称</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单位</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数量</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cs="宋体"/>
                <w:i w:val="0"/>
                <w:caps w:val="0"/>
                <w:color w:val="auto"/>
                <w:spacing w:val="0"/>
                <w:kern w:val="0"/>
                <w:sz w:val="24"/>
                <w:szCs w:val="24"/>
                <w:shd w:val="clear" w:color="auto" w:fill="FFFFFF"/>
                <w:lang w:val="en-US" w:eastAsia="zh-CN" w:bidi="ar"/>
              </w:rPr>
              <w:t>品牌</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caps w:val="0"/>
                <w:color w:val="auto"/>
                <w:spacing w:val="0"/>
                <w:kern w:val="0"/>
                <w:sz w:val="24"/>
                <w:szCs w:val="24"/>
                <w:shd w:val="clear" w:color="auto" w:fill="FFFFFF"/>
                <w:lang w:val="en-US" w:eastAsia="zh-CN" w:bidi="ar"/>
              </w:rPr>
            </w:pPr>
            <w:r>
              <w:rPr>
                <w:rFonts w:hint="eastAsia" w:ascii="宋体" w:hAnsi="宋体" w:cs="宋体"/>
                <w:i w:val="0"/>
                <w:caps w:val="0"/>
                <w:color w:val="auto"/>
                <w:spacing w:val="0"/>
                <w:kern w:val="0"/>
                <w:sz w:val="24"/>
                <w:szCs w:val="24"/>
                <w:shd w:val="clear" w:color="auto" w:fill="FFFFFF"/>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病房订餐</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医院一床一码订餐软件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食堂订餐管理系统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食堂订餐排菜系统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食堂订餐备餐系统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5</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食堂订餐配送系统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6</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食堂手持订餐软件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7</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档口消费</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食堂消费管理系统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8</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食堂卡码脸消费软件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 xml:space="preserve">9  </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堂食点餐</w:t>
            </w:r>
          </w:p>
        </w:tc>
        <w:tc>
          <w:tcPr>
            <w:tcW w:w="2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食堂点餐管理系统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10</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食堂扫码点餐软件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11</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食堂台式点餐软件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12</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食堂自助点餐软件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13</w:t>
            </w:r>
          </w:p>
        </w:tc>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院内商超</w:t>
            </w:r>
          </w:p>
        </w:tc>
        <w:tc>
          <w:tcPr>
            <w:tcW w:w="2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商超管理系统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14</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商超零售软件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15</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商超外卖软件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16</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食品留样</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食堂留样管理系统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17</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进销存</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进销存管理系统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18</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台称出入库软件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19</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手持出入库软件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20</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食堂管理</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食堂项目管理系统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21</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阳光公示大数据软件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22</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电子菜谱大数据软件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23</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智慧食安大数据软件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24</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医院管理平台</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统一管理平台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25</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基础数据管理系统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26</w:t>
            </w: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职工补贴管理系统</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套</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27</w:t>
            </w:r>
          </w:p>
        </w:tc>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配套硬件</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出入库智能秤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28</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出入库手持机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29</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一床一码</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张</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200</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30</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手持订餐机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31</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送餐车</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32</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标签打印机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33</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小票打印机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34</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卡码脸消费机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35</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台式双屏点餐机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36</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扫码设备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37</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读卡设备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38</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现金钱箱</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39</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立式自助点餐机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40</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商超收银机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41</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扫码枪</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42</w:t>
            </w:r>
          </w:p>
        </w:tc>
        <w:tc>
          <w:tcPr>
            <w:tcW w:w="122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身份证识读器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38"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cs="宋体"/>
                <w:i w:val="0"/>
                <w:caps w:val="0"/>
                <w:color w:val="auto"/>
                <w:spacing w:val="0"/>
                <w:kern w:val="0"/>
                <w:sz w:val="24"/>
                <w:szCs w:val="24"/>
                <w:shd w:val="clear" w:color="auto" w:fill="FFFFFF"/>
                <w:lang w:val="en-US" w:eastAsia="zh-CN" w:bidi="ar"/>
              </w:rPr>
              <w:t>合计</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24"/>
                <w:szCs w:val="24"/>
                <w:shd w:val="clear" w:color="auto" w:fill="FFFFFF"/>
                <w:lang w:val="en-US" w:eastAsia="zh-CN" w:bidi="ar"/>
              </w:rPr>
            </w:pPr>
          </w:p>
        </w:tc>
      </w:tr>
    </w:tbl>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pStyle w:val="13"/>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本次报价</w:t>
      </w:r>
      <w:r>
        <w:rPr>
          <w:rFonts w:hint="eastAsia" w:ascii="宋体" w:hAnsi="宋体" w:cs="宋体"/>
          <w:color w:val="auto"/>
          <w:kern w:val="0"/>
          <w:sz w:val="24"/>
          <w:szCs w:val="24"/>
          <w:highlight w:val="none"/>
          <w:lang w:val="en-US" w:eastAsia="zh-CN"/>
        </w:rPr>
        <w:t>总价不得超过最高限价否则视为无效报价。</w:t>
      </w:r>
      <w:r>
        <w:rPr>
          <w:rFonts w:hint="eastAsia" w:ascii="宋体" w:hAnsi="宋体" w:eastAsia="宋体" w:cs="宋体"/>
          <w:color w:val="auto"/>
          <w:kern w:val="0"/>
          <w:sz w:val="24"/>
          <w:szCs w:val="24"/>
          <w:highlight w:val="none"/>
          <w:lang w:val="en-US" w:eastAsia="zh-CN"/>
        </w:rPr>
        <w:t>请供应商充分考虑。</w:t>
      </w:r>
    </w:p>
    <w:p>
      <w:pPr>
        <w:pStyle w:val="13"/>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pStyle w:val="13"/>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pPr>
        <w:pStyle w:val="11"/>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bookmarkStart w:id="3" w:name="_GoBack"/>
      <w:bookmarkEnd w:id="3"/>
      <w:r>
        <w:rPr>
          <w:rFonts w:hint="eastAsia" w:ascii="宋体" w:hAnsi="宋体" w:eastAsia="宋体" w:cs="宋体"/>
          <w:b/>
          <w:bCs/>
          <w:color w:val="auto"/>
          <w:sz w:val="24"/>
          <w:szCs w:val="24"/>
          <w:lang w:val="en-US" w:eastAsia="zh-CN"/>
        </w:rPr>
        <w:t>2-2</w:t>
      </w: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2"/>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w:t>
      </w: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2"/>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w:t>
      </w:r>
    </w:p>
    <w:p>
      <w:pPr>
        <w:pStyle w:val="8"/>
        <w:keepNext w:val="0"/>
        <w:keepLines w:val="0"/>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b/>
          <w:bCs/>
          <w:color w:val="auto"/>
          <w:sz w:val="24"/>
          <w:szCs w:val="24"/>
          <w:highlight w:val="none"/>
        </w:rPr>
      </w:pPr>
    </w:p>
    <w:p>
      <w:pPr>
        <w:pStyle w:val="23"/>
        <w:keepNext w:val="0"/>
        <w:keepLines w:val="0"/>
        <w:pageBreakBefore w:val="0"/>
        <w:kinsoku/>
        <w:wordWrap/>
        <w:overflowPunct/>
        <w:topLinePunct w:val="0"/>
        <w:autoSpaceDE/>
        <w:autoSpaceDN/>
        <w:bidi w:val="0"/>
        <w:snapToGrid w:val="0"/>
        <w:spacing w:beforeLines="100" w:afterLines="100"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rPr>
        <w:t>良好的商业信誉和健全的财务会计制度</w:t>
      </w:r>
      <w:r>
        <w:rPr>
          <w:rFonts w:hint="eastAsia" w:ascii="宋体" w:hAnsi="宋体" w:eastAsia="宋体" w:cs="宋体"/>
          <w:i w:val="0"/>
          <w:iCs w:val="0"/>
          <w:caps w:val="0"/>
          <w:color w:val="auto"/>
          <w:spacing w:val="0"/>
          <w:sz w:val="24"/>
          <w:szCs w:val="24"/>
          <w:highlight w:val="none"/>
          <w:shd w:val="clear" w:color="auto" w:fill="FFFFFF"/>
          <w:lang w:val="en-US" w:eastAsia="zh-CN"/>
        </w:rPr>
        <w:t>的承诺函</w:t>
      </w:r>
    </w:p>
    <w:p>
      <w:pPr>
        <w:keepNext w:val="0"/>
        <w:keepLines w:val="0"/>
        <w:pageBreakBefore w:val="0"/>
        <w:kinsoku/>
        <w:wordWrap/>
        <w:overflowPunct/>
        <w:topLinePunct w:val="0"/>
        <w:autoSpaceDE/>
        <w:autoSpaceDN/>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bCs/>
          <w:color w:val="auto"/>
          <w:sz w:val="24"/>
          <w:szCs w:val="24"/>
          <w:highlight w:val="none"/>
          <w:lang w:val="en-US" w:eastAsia="zh-CN"/>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w:t>
      </w: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keepNext w:val="0"/>
        <w:keepLines w:val="0"/>
        <w:pageBreakBefore w:val="0"/>
        <w:kinsoku/>
        <w:wordWrap/>
        <w:overflowPunct/>
        <w:topLinePunct w:val="0"/>
        <w:autoSpaceDE/>
        <w:autoSpaceDN/>
        <w:bidi w:val="0"/>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keepNext w:val="0"/>
        <w:keepLines w:val="0"/>
        <w:pageBreakBefore w:val="0"/>
        <w:kinsoku/>
        <w:wordWrap/>
        <w:overflowPunct/>
        <w:topLinePunct w:val="0"/>
        <w:autoSpaceDE/>
        <w:autoSpaceDN/>
        <w:bidi w:val="0"/>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2"/>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pStyle w:val="11"/>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pPr>
        <w:pStyle w:val="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15"/>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autoSpaceDE/>
        <w:autoSpaceDN/>
        <w:bidi w:val="0"/>
        <w:spacing w:beforeAutospacing="0" w:line="360" w:lineRule="auto"/>
        <w:ind w:firstLine="6240" w:firstLineChars="2600"/>
        <w:jc w:val="left"/>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sectPr>
      <w:headerReference r:id="rId3" w:type="default"/>
      <w:footerReference r:id="rId4"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p>
    <w:pPr>
      <w:pStyle w:val="10"/>
      <w:pBdr>
        <w:bottom w:val="none" w:color="auto" w:sz="0" w:space="0"/>
      </w:pBdr>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78CFE"/>
    <w:multiLevelType w:val="singleLevel"/>
    <w:tmpl w:val="8BA78CFE"/>
    <w:lvl w:ilvl="0" w:tentative="0">
      <w:start w:val="9"/>
      <w:numFmt w:val="decimal"/>
      <w:lvlText w:val="%1."/>
      <w:lvlJc w:val="left"/>
      <w:pPr>
        <w:tabs>
          <w:tab w:val="left" w:pos="312"/>
        </w:tabs>
      </w:p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B4E21CBA"/>
    <w:multiLevelType w:val="singleLevel"/>
    <w:tmpl w:val="B4E21CBA"/>
    <w:lvl w:ilvl="0" w:tentative="0">
      <w:start w:val="1"/>
      <w:numFmt w:val="decimal"/>
      <w:lvlText w:val="%1."/>
      <w:lvlJc w:val="left"/>
      <w:pPr>
        <w:tabs>
          <w:tab w:val="left" w:pos="312"/>
        </w:tabs>
      </w:pPr>
    </w:lvl>
  </w:abstractNum>
  <w:abstractNum w:abstractNumId="3">
    <w:nsid w:val="E66A6062"/>
    <w:multiLevelType w:val="singleLevel"/>
    <w:tmpl w:val="E66A6062"/>
    <w:lvl w:ilvl="0" w:tentative="0">
      <w:start w:val="1"/>
      <w:numFmt w:val="decimal"/>
      <w:lvlText w:val="%1."/>
      <w:lvlJc w:val="left"/>
      <w:pPr>
        <w:tabs>
          <w:tab w:val="left" w:pos="312"/>
        </w:tabs>
      </w:pPr>
    </w:lvl>
  </w:abstractNum>
  <w:abstractNum w:abstractNumId="4">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051017"/>
    <w:rsid w:val="006548B4"/>
    <w:rsid w:val="00737527"/>
    <w:rsid w:val="00984987"/>
    <w:rsid w:val="01582E9F"/>
    <w:rsid w:val="022561DB"/>
    <w:rsid w:val="024B5F91"/>
    <w:rsid w:val="02592AC5"/>
    <w:rsid w:val="02E53A75"/>
    <w:rsid w:val="03C142B6"/>
    <w:rsid w:val="0423435A"/>
    <w:rsid w:val="04831DF5"/>
    <w:rsid w:val="04C176DC"/>
    <w:rsid w:val="0533298B"/>
    <w:rsid w:val="05AC5F14"/>
    <w:rsid w:val="05CD03BE"/>
    <w:rsid w:val="05F477B7"/>
    <w:rsid w:val="07AF5FEE"/>
    <w:rsid w:val="088710D9"/>
    <w:rsid w:val="094F5478"/>
    <w:rsid w:val="09A70AB9"/>
    <w:rsid w:val="09E66AD6"/>
    <w:rsid w:val="09F4147B"/>
    <w:rsid w:val="0A277760"/>
    <w:rsid w:val="0ACF324E"/>
    <w:rsid w:val="0B565E48"/>
    <w:rsid w:val="0B5E2A33"/>
    <w:rsid w:val="0C0418A5"/>
    <w:rsid w:val="0C1A446B"/>
    <w:rsid w:val="0CAA04D6"/>
    <w:rsid w:val="0CC42C4A"/>
    <w:rsid w:val="0CE1020E"/>
    <w:rsid w:val="0CE5021C"/>
    <w:rsid w:val="0CE90D83"/>
    <w:rsid w:val="0D272843"/>
    <w:rsid w:val="0F1E59DC"/>
    <w:rsid w:val="0F4628CF"/>
    <w:rsid w:val="0F53554E"/>
    <w:rsid w:val="0F71729A"/>
    <w:rsid w:val="0F914A2F"/>
    <w:rsid w:val="0FD4292A"/>
    <w:rsid w:val="10863CAA"/>
    <w:rsid w:val="109819C6"/>
    <w:rsid w:val="10DB653E"/>
    <w:rsid w:val="112F7D4C"/>
    <w:rsid w:val="114C276E"/>
    <w:rsid w:val="12173925"/>
    <w:rsid w:val="129243DD"/>
    <w:rsid w:val="12BB52A2"/>
    <w:rsid w:val="1342037A"/>
    <w:rsid w:val="13E76168"/>
    <w:rsid w:val="14706D5B"/>
    <w:rsid w:val="15517106"/>
    <w:rsid w:val="15855BCE"/>
    <w:rsid w:val="15B71161"/>
    <w:rsid w:val="15D00CD9"/>
    <w:rsid w:val="16795C6E"/>
    <w:rsid w:val="16EE2D85"/>
    <w:rsid w:val="177F6166"/>
    <w:rsid w:val="18C87522"/>
    <w:rsid w:val="192B394B"/>
    <w:rsid w:val="196B01BF"/>
    <w:rsid w:val="1A8B0593"/>
    <w:rsid w:val="1AC67E61"/>
    <w:rsid w:val="1B1D07A3"/>
    <w:rsid w:val="1B9907D4"/>
    <w:rsid w:val="1C151423"/>
    <w:rsid w:val="1C407CE8"/>
    <w:rsid w:val="1C962C76"/>
    <w:rsid w:val="1CBB7632"/>
    <w:rsid w:val="1D7B096A"/>
    <w:rsid w:val="1D7D134A"/>
    <w:rsid w:val="1DC80A69"/>
    <w:rsid w:val="1E9514A0"/>
    <w:rsid w:val="1F051509"/>
    <w:rsid w:val="1F3369B2"/>
    <w:rsid w:val="1FD72787"/>
    <w:rsid w:val="20AF2A2B"/>
    <w:rsid w:val="20DA106C"/>
    <w:rsid w:val="20EF1296"/>
    <w:rsid w:val="20F75157"/>
    <w:rsid w:val="212B1E31"/>
    <w:rsid w:val="21362EB0"/>
    <w:rsid w:val="2161289E"/>
    <w:rsid w:val="21AD5563"/>
    <w:rsid w:val="21F50B43"/>
    <w:rsid w:val="22A031DB"/>
    <w:rsid w:val="231A50A3"/>
    <w:rsid w:val="23305048"/>
    <w:rsid w:val="236E081B"/>
    <w:rsid w:val="2487307B"/>
    <w:rsid w:val="2508096D"/>
    <w:rsid w:val="25101CDA"/>
    <w:rsid w:val="25550458"/>
    <w:rsid w:val="2559103D"/>
    <w:rsid w:val="255D565D"/>
    <w:rsid w:val="25685003"/>
    <w:rsid w:val="256C23F4"/>
    <w:rsid w:val="25C97BEE"/>
    <w:rsid w:val="26DB0FF6"/>
    <w:rsid w:val="26E41B28"/>
    <w:rsid w:val="274041B2"/>
    <w:rsid w:val="281955CF"/>
    <w:rsid w:val="281D195D"/>
    <w:rsid w:val="290D4131"/>
    <w:rsid w:val="29266E1A"/>
    <w:rsid w:val="295D4F3D"/>
    <w:rsid w:val="2A044599"/>
    <w:rsid w:val="2A0F7B8F"/>
    <w:rsid w:val="2B05240B"/>
    <w:rsid w:val="2B4470EF"/>
    <w:rsid w:val="2B7C00E6"/>
    <w:rsid w:val="2BF4266B"/>
    <w:rsid w:val="2C38364A"/>
    <w:rsid w:val="2C9E09EC"/>
    <w:rsid w:val="2CB371D5"/>
    <w:rsid w:val="2CF3776A"/>
    <w:rsid w:val="2D0C3CF4"/>
    <w:rsid w:val="2D611200"/>
    <w:rsid w:val="2D7F4851"/>
    <w:rsid w:val="2E9A2201"/>
    <w:rsid w:val="2F797671"/>
    <w:rsid w:val="2F7F199B"/>
    <w:rsid w:val="2FD55B5A"/>
    <w:rsid w:val="30806B9E"/>
    <w:rsid w:val="30B43B75"/>
    <w:rsid w:val="31650772"/>
    <w:rsid w:val="31C845BB"/>
    <w:rsid w:val="31E9143D"/>
    <w:rsid w:val="31FF6F86"/>
    <w:rsid w:val="3204001F"/>
    <w:rsid w:val="33886860"/>
    <w:rsid w:val="339D556E"/>
    <w:rsid w:val="33D41194"/>
    <w:rsid w:val="34A55F9D"/>
    <w:rsid w:val="34BE33D7"/>
    <w:rsid w:val="35344E80"/>
    <w:rsid w:val="35B83942"/>
    <w:rsid w:val="35DB18E9"/>
    <w:rsid w:val="361A126B"/>
    <w:rsid w:val="363E3B8C"/>
    <w:rsid w:val="36545D30"/>
    <w:rsid w:val="36BF0CFE"/>
    <w:rsid w:val="36EC758F"/>
    <w:rsid w:val="37671CCB"/>
    <w:rsid w:val="37B26C16"/>
    <w:rsid w:val="382156FA"/>
    <w:rsid w:val="383D10D3"/>
    <w:rsid w:val="38FA4D0A"/>
    <w:rsid w:val="38FC6146"/>
    <w:rsid w:val="39A43E9E"/>
    <w:rsid w:val="39ED22F2"/>
    <w:rsid w:val="3AF712CC"/>
    <w:rsid w:val="3BDD1C9A"/>
    <w:rsid w:val="3C6234CA"/>
    <w:rsid w:val="3C712D37"/>
    <w:rsid w:val="3CB36193"/>
    <w:rsid w:val="3CDF7907"/>
    <w:rsid w:val="3D4E7AA9"/>
    <w:rsid w:val="3D5123A5"/>
    <w:rsid w:val="3E3C3D7F"/>
    <w:rsid w:val="3EEB2146"/>
    <w:rsid w:val="3F0F3FAB"/>
    <w:rsid w:val="3F3D74FE"/>
    <w:rsid w:val="3FBC281F"/>
    <w:rsid w:val="3FC94921"/>
    <w:rsid w:val="40B90D30"/>
    <w:rsid w:val="41AD16C5"/>
    <w:rsid w:val="432A1B18"/>
    <w:rsid w:val="437B44C4"/>
    <w:rsid w:val="43E06BC0"/>
    <w:rsid w:val="450B6A83"/>
    <w:rsid w:val="453413AE"/>
    <w:rsid w:val="4537221B"/>
    <w:rsid w:val="45631693"/>
    <w:rsid w:val="46263727"/>
    <w:rsid w:val="463B4047"/>
    <w:rsid w:val="47105324"/>
    <w:rsid w:val="47243847"/>
    <w:rsid w:val="480004B0"/>
    <w:rsid w:val="480623B9"/>
    <w:rsid w:val="481E41DD"/>
    <w:rsid w:val="48A06651"/>
    <w:rsid w:val="49492114"/>
    <w:rsid w:val="495777FB"/>
    <w:rsid w:val="4AF20173"/>
    <w:rsid w:val="4B0C6E2E"/>
    <w:rsid w:val="4B2655D3"/>
    <w:rsid w:val="4BAE772A"/>
    <w:rsid w:val="4BB17333"/>
    <w:rsid w:val="4BE53A39"/>
    <w:rsid w:val="4C4A7B3B"/>
    <w:rsid w:val="4C4F073F"/>
    <w:rsid w:val="4C586E50"/>
    <w:rsid w:val="4C8B4D21"/>
    <w:rsid w:val="4C8D6025"/>
    <w:rsid w:val="4CEA1A71"/>
    <w:rsid w:val="4DA841F4"/>
    <w:rsid w:val="4DC3281F"/>
    <w:rsid w:val="4DFC16FF"/>
    <w:rsid w:val="4E1F525A"/>
    <w:rsid w:val="4EF241A3"/>
    <w:rsid w:val="4F2D7873"/>
    <w:rsid w:val="4FEE5732"/>
    <w:rsid w:val="50066CA3"/>
    <w:rsid w:val="504533AC"/>
    <w:rsid w:val="50485D02"/>
    <w:rsid w:val="50594DE2"/>
    <w:rsid w:val="50715E7F"/>
    <w:rsid w:val="518B59E0"/>
    <w:rsid w:val="52221E4F"/>
    <w:rsid w:val="5244176A"/>
    <w:rsid w:val="52622C38"/>
    <w:rsid w:val="526D31C8"/>
    <w:rsid w:val="52F52B89"/>
    <w:rsid w:val="530458E8"/>
    <w:rsid w:val="53AD73D7"/>
    <w:rsid w:val="541532F3"/>
    <w:rsid w:val="54190937"/>
    <w:rsid w:val="544669FD"/>
    <w:rsid w:val="54F21968"/>
    <w:rsid w:val="550310E3"/>
    <w:rsid w:val="552419F1"/>
    <w:rsid w:val="556A2BB0"/>
    <w:rsid w:val="55B66898"/>
    <w:rsid w:val="55BB16B6"/>
    <w:rsid w:val="56C57A34"/>
    <w:rsid w:val="572B3928"/>
    <w:rsid w:val="574F6249"/>
    <w:rsid w:val="576B5B9C"/>
    <w:rsid w:val="578E1256"/>
    <w:rsid w:val="57AD74C8"/>
    <w:rsid w:val="58071A1F"/>
    <w:rsid w:val="588675CA"/>
    <w:rsid w:val="59695B75"/>
    <w:rsid w:val="599B1691"/>
    <w:rsid w:val="5A3115B5"/>
    <w:rsid w:val="5B584E6A"/>
    <w:rsid w:val="5C86411D"/>
    <w:rsid w:val="5CEF3C87"/>
    <w:rsid w:val="5D810FF7"/>
    <w:rsid w:val="5E736001"/>
    <w:rsid w:val="5E810B9A"/>
    <w:rsid w:val="5E8575A0"/>
    <w:rsid w:val="5ECC5796"/>
    <w:rsid w:val="5F177C37"/>
    <w:rsid w:val="5F3F2478"/>
    <w:rsid w:val="5F74047B"/>
    <w:rsid w:val="60081EA4"/>
    <w:rsid w:val="606964BC"/>
    <w:rsid w:val="60AB7D42"/>
    <w:rsid w:val="616E24E6"/>
    <w:rsid w:val="619A462F"/>
    <w:rsid w:val="62312A9D"/>
    <w:rsid w:val="6251635C"/>
    <w:rsid w:val="63545F00"/>
    <w:rsid w:val="635C21B5"/>
    <w:rsid w:val="641963B7"/>
    <w:rsid w:val="64202DC6"/>
    <w:rsid w:val="64480A16"/>
    <w:rsid w:val="65EC58B4"/>
    <w:rsid w:val="666F001B"/>
    <w:rsid w:val="671B6946"/>
    <w:rsid w:val="674B4506"/>
    <w:rsid w:val="67CF2561"/>
    <w:rsid w:val="67FA45E8"/>
    <w:rsid w:val="6841159B"/>
    <w:rsid w:val="687F107F"/>
    <w:rsid w:val="68822004"/>
    <w:rsid w:val="69BF750B"/>
    <w:rsid w:val="6A6F1DC6"/>
    <w:rsid w:val="6B405AFC"/>
    <w:rsid w:val="6BD8207B"/>
    <w:rsid w:val="6C8C2E23"/>
    <w:rsid w:val="6CA17546"/>
    <w:rsid w:val="6D36583B"/>
    <w:rsid w:val="6D870634"/>
    <w:rsid w:val="6F7F20D5"/>
    <w:rsid w:val="6FC43CA6"/>
    <w:rsid w:val="6FCC6779"/>
    <w:rsid w:val="70812E3F"/>
    <w:rsid w:val="71A12E7C"/>
    <w:rsid w:val="71D8190B"/>
    <w:rsid w:val="71DE05CD"/>
    <w:rsid w:val="72567C18"/>
    <w:rsid w:val="72740C55"/>
    <w:rsid w:val="72F06D27"/>
    <w:rsid w:val="7328385A"/>
    <w:rsid w:val="732D57FF"/>
    <w:rsid w:val="735536BC"/>
    <w:rsid w:val="739065EB"/>
    <w:rsid w:val="73DF11F6"/>
    <w:rsid w:val="73F26EC8"/>
    <w:rsid w:val="74352E35"/>
    <w:rsid w:val="74410750"/>
    <w:rsid w:val="74671085"/>
    <w:rsid w:val="75403B33"/>
    <w:rsid w:val="75E44CC4"/>
    <w:rsid w:val="75F21E91"/>
    <w:rsid w:val="761B77D2"/>
    <w:rsid w:val="76880984"/>
    <w:rsid w:val="76DE6D2F"/>
    <w:rsid w:val="77693B15"/>
    <w:rsid w:val="77DC7456"/>
    <w:rsid w:val="77E2713E"/>
    <w:rsid w:val="782A0E88"/>
    <w:rsid w:val="78A07BDA"/>
    <w:rsid w:val="78B64B97"/>
    <w:rsid w:val="78C62C34"/>
    <w:rsid w:val="790A4749"/>
    <w:rsid w:val="7980072F"/>
    <w:rsid w:val="79CC7F63"/>
    <w:rsid w:val="7AB14371"/>
    <w:rsid w:val="7AB46BDC"/>
    <w:rsid w:val="7B5209E2"/>
    <w:rsid w:val="7BA577E9"/>
    <w:rsid w:val="7C28453F"/>
    <w:rsid w:val="7C5A278F"/>
    <w:rsid w:val="7C6543A4"/>
    <w:rsid w:val="7CA56C98"/>
    <w:rsid w:val="7CE309DD"/>
    <w:rsid w:val="7D1A2BCE"/>
    <w:rsid w:val="7D512D27"/>
    <w:rsid w:val="7D566EE8"/>
    <w:rsid w:val="7E345685"/>
    <w:rsid w:val="7E477DBC"/>
    <w:rsid w:val="7E6D09FF"/>
    <w:rsid w:val="7F46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style>
  <w:style w:type="paragraph" w:styleId="5">
    <w:name w:val="Normal Indent"/>
    <w:basedOn w:val="1"/>
    <w:autoRedefine/>
    <w:qFormat/>
    <w:uiPriority w:val="0"/>
    <w:pPr>
      <w:widowControl w:val="0"/>
      <w:spacing w:line="360" w:lineRule="auto"/>
      <w:ind w:firstLine="420" w:firstLineChars="200"/>
      <w:jc w:val="both"/>
    </w:pPr>
    <w:rPr>
      <w:kern w:val="2"/>
      <w:sz w:val="21"/>
    </w:rPr>
  </w:style>
  <w:style w:type="paragraph" w:styleId="6">
    <w:name w:val="annotation text"/>
    <w:basedOn w:val="1"/>
    <w:autoRedefine/>
    <w:qFormat/>
    <w:uiPriority w:val="0"/>
    <w:pPr>
      <w:widowControl w:val="0"/>
    </w:pPr>
    <w:rPr>
      <w:kern w:val="2"/>
      <w:sz w:val="18"/>
      <w:szCs w:val="20"/>
    </w:rPr>
  </w:style>
  <w:style w:type="paragraph" w:styleId="7">
    <w:name w:val="Body Text Indent"/>
    <w:basedOn w:val="1"/>
    <w:autoRedefine/>
    <w:qFormat/>
    <w:uiPriority w:val="0"/>
    <w:pPr>
      <w:ind w:firstLine="630"/>
    </w:pPr>
    <w:rPr>
      <w:sz w:val="32"/>
      <w:szCs w:val="20"/>
    </w:rPr>
  </w:style>
  <w:style w:type="paragraph" w:styleId="8">
    <w:name w:val="Plain Text"/>
    <w:basedOn w:val="1"/>
    <w:autoRedefine/>
    <w:qFormat/>
    <w:uiPriority w:val="0"/>
    <w:pPr>
      <w:spacing w:line="460" w:lineRule="exact"/>
      <w:ind w:firstLine="567"/>
    </w:pPr>
    <w:rPr>
      <w:rFonts w:ascii="宋体" w:hAnsi="Courier New" w:eastAsia="仿宋_GB2312"/>
      <w:sz w:val="28"/>
      <w:szCs w:val="20"/>
    </w:rPr>
  </w:style>
  <w:style w:type="paragraph" w:styleId="9">
    <w:name w:val="footer"/>
    <w:basedOn w:val="1"/>
    <w:autoRedefine/>
    <w:qFormat/>
    <w:uiPriority w:val="0"/>
    <w:pPr>
      <w:tabs>
        <w:tab w:val="center" w:pos="4153"/>
        <w:tab w:val="right" w:pos="8306"/>
      </w:tabs>
      <w:snapToGrid w:val="0"/>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line="180" w:lineRule="auto"/>
      <w:jc w:val="center"/>
    </w:pPr>
    <w:rPr>
      <w:sz w:val="30"/>
    </w:rPr>
  </w:style>
  <w:style w:type="paragraph" w:styleId="12">
    <w:name w:val="footnote text"/>
    <w:basedOn w:val="1"/>
    <w:autoRedefine/>
    <w:qFormat/>
    <w:uiPriority w:val="99"/>
    <w:pPr>
      <w:snapToGrid w:val="0"/>
      <w:jc w:val="left"/>
    </w:pPr>
    <w:rPr>
      <w:rFonts w:ascii="宋体" w:hAnsi="Times New Roman" w:eastAsia="宋体" w:cs="Times New Roman"/>
      <w:kern w:val="0"/>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2"/>
    <w:autoRedefine/>
    <w:qFormat/>
    <w:uiPriority w:val="0"/>
    <w:pPr>
      <w:widowControl w:val="0"/>
      <w:ind w:firstLine="420" w:firstLineChars="100"/>
      <w:jc w:val="both"/>
    </w:pPr>
    <w:rPr>
      <w:rFonts w:ascii="宋体" w:hAnsi="宋体"/>
      <w:kern w:val="2"/>
      <w:sz w:val="21"/>
      <w:szCs w:val="20"/>
    </w:rPr>
  </w:style>
  <w:style w:type="paragraph" w:styleId="15">
    <w:name w:val="Body Text First Indent 2"/>
    <w:basedOn w:val="7"/>
    <w:autoRedefine/>
    <w:qFormat/>
    <w:uiPriority w:val="0"/>
    <w:pPr>
      <w:ind w:firstLine="42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iPriority w:val="0"/>
    <w:rPr>
      <w:color w:val="0000FF"/>
      <w:u w:val="single"/>
    </w:rPr>
  </w:style>
  <w:style w:type="character" w:styleId="20">
    <w:name w:val="annotation reference"/>
    <w:autoRedefine/>
    <w:qFormat/>
    <w:uiPriority w:val="99"/>
    <w:rPr>
      <w:sz w:val="21"/>
      <w:szCs w:val="21"/>
    </w:r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样式 9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GW-正文"/>
    <w:basedOn w:val="1"/>
    <w:autoRedefine/>
    <w:qFormat/>
    <w:uiPriority w:val="0"/>
    <w:pPr>
      <w:spacing w:line="360" w:lineRule="auto"/>
      <w:ind w:firstLine="200" w:firstLineChars="200"/>
    </w:pPr>
    <w:rPr>
      <w:rFonts w:eastAsia="仿宋_GB2312"/>
      <w:sz w:val="24"/>
      <w:szCs w:val="24"/>
    </w:rPr>
  </w:style>
  <w:style w:type="paragraph" w:customStyle="1" w:styleId="24">
    <w:name w:val="_Style 3"/>
    <w:basedOn w:val="1"/>
    <w:autoRedefine/>
    <w:qFormat/>
    <w:uiPriority w:val="0"/>
    <w:pPr>
      <w:ind w:firstLine="420" w:firstLineChars="200"/>
    </w:pPr>
    <w:rPr>
      <w:sz w:val="20"/>
    </w:rPr>
  </w:style>
  <w:style w:type="paragraph" w:customStyle="1" w:styleId="25">
    <w:name w:val="Table Paragraph"/>
    <w:basedOn w:val="1"/>
    <w:autoRedefine/>
    <w:qFormat/>
    <w:uiPriority w:val="1"/>
    <w:pPr>
      <w:autoSpaceDE w:val="0"/>
      <w:autoSpaceDN w:val="0"/>
      <w:jc w:val="left"/>
    </w:pPr>
    <w:rPr>
      <w:sz w:val="22"/>
      <w:szCs w:val="22"/>
    </w:rPr>
  </w:style>
  <w:style w:type="paragraph" w:customStyle="1" w:styleId="26">
    <w:name w:val="null3"/>
    <w:autoRedefine/>
    <w:hidden/>
    <w:qFormat/>
    <w:uiPriority w:val="0"/>
    <w:rPr>
      <w:rFonts w:hint="eastAsia" w:asciiTheme="minorHAnsi" w:hAnsiTheme="minorHAnsi" w:eastAsiaTheme="minorEastAsia" w:cstheme="minorBidi"/>
      <w:lang w:val="en-US" w:eastAsia="zh-Hans"/>
    </w:rPr>
  </w:style>
  <w:style w:type="paragraph" w:customStyle="1" w:styleId="27">
    <w:name w:val="List Paragraph"/>
    <w:basedOn w:val="1"/>
    <w:autoRedefine/>
    <w:qFormat/>
    <w:uiPriority w:val="0"/>
    <w:pPr>
      <w:ind w:firstLine="420" w:firstLineChars="200"/>
    </w:pPr>
  </w:style>
  <w:style w:type="paragraph" w:customStyle="1" w:styleId="28">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13626</Words>
  <Characters>14233</Characters>
  <Lines>0</Lines>
  <Paragraphs>0</Paragraphs>
  <TotalTime>15</TotalTime>
  <ScaleCrop>false</ScaleCrop>
  <LinksUpToDate>false</LinksUpToDate>
  <CharactersWithSpaces>14631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2024-07-02T08:18:25Z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796B92C70F0F4764B01F0098AFD1D00F_12</vt:lpwstr>
  </property>
</Properties>
</file>