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40"/>
          <w:szCs w:val="40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auto"/>
          <w:spacing w:val="0"/>
          <w:sz w:val="44"/>
          <w:szCs w:val="44"/>
          <w:shd w:val="clear" w:color="auto" w:fill="FFFFFF"/>
          <w:lang w:val="en-US" w:eastAsia="zh-CN"/>
        </w:rPr>
        <w:t>退休职工节假日慰问券采购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  <w:t>项目方案要求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160" w:leftChars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160" w:leftChars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项目慨况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16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每年按照医院在职职工标准分两次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为退休职工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发放上下半年节假日慰问劵。现需采购供应商一名，为我院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退休职工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节假日慰问券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服务，要求供应商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有便利的提货实体店和商品种类，以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便退休职工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提取生活必需品。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二、项目要求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供应商须提供符合工商及食品监督管理部门要求的相关资质，并在服务期内保证上述证件的有效性。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职工提供优质的服务。若发生职工投诉供应商服务态度、商品质量有问题或发生违反合同、或与投标文件不符的事情，一经查实，医院将采取相应的处罚措施或解除合同。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供应商应严格遵守食品安全、消防管理等相关法律法规并接受食品卫生、消防等主管部门的监督和指导，并自行承担相应责任，如发生相关行政处罚，医院将采取相应的处罚措施或解除合同。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供应商自主经营，独立核算，自负盈亏，发生的债权、债务与医院无关，均由供应商负责。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经营范围：农副产品、预包装食品兼散装食品、乳制品、生活用品等，不能经营未经国家许可的医疗器械、药品、消毒剂等相关医疗用品和国家及有关部门规定的禁营物品；以及不得向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医院退休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职工销售“政府采购目录范围内的商品”（具体商品种类中标后需与医院确认）。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超市各类食品应在固定购货点采购（供应商须向医院交齐购货点的各种证件、资料）。采购食品不得超过保质期，定型包装食品应有厂名、品名、厂地、生产日期、保质期，进口食品要有中文标识。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积极做好预防和控制疫情、食品安全事件，一旦发生食品安全事件，及时向采购人和卫生检疫机构报告，保留现场，封存可疑食品。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8.每次发放慰问券时需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与医院工作人员核对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本次发放人数与金额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，出具符合财务相关规范要求的正规发票，医院完善报销手续后支付。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供应商中标后需购买食品安全责任险（赔付金额不低于100万元），需提供承诺函。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三、其它要求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供应商必须严格履行合同，不得随意终止合同，停止经营。否则，采购人原则上不退还履约保证金，由此造成的一切法律责任和经济损失由供应商承担。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服务期间供应商不得私自委托第三方提供服务，否则采购人有权提前终止合同，并扣除其履约保证金。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如遇国家政策变化或自然灾害等不可抗拒因素，采购人有权无条件终止合同，退还保证金。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RkYzI3NWE1MjIxMDNkNGJkYzlhYWZlNmFjZDQ2NjkifQ=="/>
    <w:docVar w:name="KSO_WPS_MARK_KEY" w:val="dc3547c5-679c-4d3c-b858-d761868c7d88"/>
  </w:docVars>
  <w:rsids>
    <w:rsidRoot w:val="4D024E34"/>
    <w:rsid w:val="11661EBA"/>
    <w:rsid w:val="1E016624"/>
    <w:rsid w:val="4D024E34"/>
    <w:rsid w:val="7DEA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3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908</Words>
  <Characters>922</Characters>
  <Lines>0</Lines>
  <Paragraphs>0</Paragraphs>
  <TotalTime>36</TotalTime>
  <ScaleCrop>false</ScaleCrop>
  <LinksUpToDate>false</LinksUpToDate>
  <CharactersWithSpaces>928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2023-08-03T07:57:00Z</dcterms:created>
  <dc:creator>Cynthia</dc:creator>
  <cp:lastModifiedBy>肖文倩</cp:lastModifiedBy>
  <dcterms:modified xsi:type="dcterms:W3CDTF">2024-07-10T07:18:17Z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79E7CB1657D443EEA049D68118D5E3F5_11</vt:lpwstr>
  </property>
</Properties>
</file>