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w:t>
      </w:r>
      <w:r>
        <w:rPr>
          <w:rFonts w:ascii="宋体" w:hAnsi="宋体" w:eastAsia="宋体" w:cs="宋体"/>
          <w:sz w:val="24"/>
          <w:szCs w:val="24"/>
        </w:rPr>
        <w:t>SCFY-YXZB202407-003（比）</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9.83</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6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52"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93"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499"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7"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395"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29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lang w:val="en-US" w:eastAsia="zh-CN"/>
              </w:rPr>
              <w:t>1</w:t>
            </w:r>
          </w:p>
        </w:tc>
        <w:tc>
          <w:tcPr>
            <w:tcW w:w="499" w:type="pct"/>
            <w:noWrap w:val="0"/>
            <w:vAlign w:val="center"/>
          </w:tcPr>
          <w:p>
            <w:pPr>
              <w:keepNext w:val="0"/>
              <w:keepLines w:val="0"/>
              <w:widowControl/>
              <w:suppressLineNumbers w:val="0"/>
              <w:jc w:val="center"/>
              <w:textAlignment w:val="center"/>
              <w:rPr>
                <w:rFonts w:hint="default" w:ascii="宋体" w:hAnsi="宋体" w:eastAsia="宋体" w:cs="宋体"/>
                <w:color w:val="000000"/>
                <w:kern w:val="2"/>
                <w:sz w:val="21"/>
                <w:szCs w:val="21"/>
                <w:lang w:val="en-US" w:eastAsia="zh-CN" w:bidi="ar-SA"/>
              </w:rPr>
            </w:pPr>
            <w:r>
              <w:rPr>
                <w:rFonts w:hint="default"/>
                <w:lang w:val="en-US" w:eastAsia="zh-CN"/>
              </w:rPr>
              <w:t>医用冷疗贴（眼用）</w:t>
            </w:r>
          </w:p>
        </w:tc>
        <w:tc>
          <w:tcPr>
            <w:tcW w:w="48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17</w:t>
            </w:r>
          </w:p>
        </w:tc>
        <w:tc>
          <w:tcPr>
            <w:tcW w:w="395"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1400袋</w:t>
            </w:r>
          </w:p>
        </w:tc>
        <w:tc>
          <w:tcPr>
            <w:tcW w:w="2971" w:type="pct"/>
            <w:noWrap w:val="0"/>
            <w:vAlign w:val="top"/>
          </w:tcPr>
          <w:p>
            <w:pPr>
              <w:rPr>
                <w:rFonts w:hint="eastAsia"/>
                <w:lang w:val="en-US" w:eastAsia="zh-CN"/>
              </w:rPr>
            </w:pPr>
            <w:r>
              <w:rPr>
                <w:rFonts w:hint="eastAsia"/>
              </w:rPr>
              <w:t>▲</w:t>
            </w:r>
            <w:r>
              <w:rPr>
                <w:rFonts w:hint="eastAsia"/>
                <w:lang w:val="en-US" w:eastAsia="zh-CN"/>
              </w:rPr>
              <w:t>用途：用于人体物理退热、体表面特定部位的降温，</w:t>
            </w:r>
          </w:p>
          <w:p>
            <w:pPr>
              <w:rPr>
                <w:rFonts w:hint="default"/>
                <w:lang w:val="en-US" w:eastAsia="zh-CN"/>
              </w:rPr>
            </w:pPr>
            <w:r>
              <w:rPr>
                <w:rFonts w:hint="eastAsia"/>
                <w:lang w:val="en-US" w:eastAsia="zh-CN"/>
              </w:rPr>
              <w:t>仅用于闭合软组织。</w:t>
            </w:r>
          </w:p>
          <w:p>
            <w:pPr>
              <w:pStyle w:val="2"/>
              <w:numPr>
                <w:ilvl w:val="0"/>
                <w:numId w:val="0"/>
              </w:numPr>
              <w:rPr>
                <w:rFonts w:hint="default"/>
                <w:lang w:val="en-US" w:eastAsia="zh-CN"/>
              </w:rPr>
            </w:pPr>
            <w:r>
              <w:rPr>
                <w:rFonts w:hint="eastAsia"/>
                <w:lang w:val="en-US" w:eastAsia="zh-CN"/>
              </w:rPr>
              <w:t>1.缓解物理压迫感及钝痛感</w:t>
            </w:r>
          </w:p>
          <w:p>
            <w:pPr>
              <w:numPr>
                <w:ilvl w:val="0"/>
                <w:numId w:val="0"/>
              </w:numPr>
              <w:ind w:leftChars="0"/>
              <w:rPr>
                <w:rFonts w:hint="eastAsia"/>
                <w:lang w:val="en-US" w:eastAsia="zh-CN"/>
              </w:rPr>
            </w:pPr>
            <w:r>
              <w:rPr>
                <w:rFonts w:hint="eastAsia"/>
                <w:lang w:val="en-US" w:eastAsia="zh-CN"/>
              </w:rPr>
              <w:t>2.促进局部组织血管收缩，消除红肿</w:t>
            </w:r>
          </w:p>
          <w:p>
            <w:pPr>
              <w:pStyle w:val="2"/>
              <w:rPr>
                <w:rFonts w:hint="default"/>
                <w:lang w:val="en-US" w:eastAsia="zh-CN"/>
              </w:rPr>
            </w:pPr>
            <w:r>
              <w:rPr>
                <w:rFonts w:hint="eastAsia"/>
                <w:lang w:val="en-US" w:eastAsia="zh-CN"/>
              </w:rPr>
              <w:t>3.抑制炎症因子释放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hint="eastAsia" w:ascii="宋体" w:hAnsi="宋体"/>
                <w:sz w:val="21"/>
                <w:szCs w:val="21"/>
              </w:rPr>
            </w:pPr>
            <w:r>
              <w:rPr>
                <w:rFonts w:hint="eastAsia" w:ascii="宋体" w:hAnsi="宋体"/>
                <w:sz w:val="21"/>
                <w:szCs w:val="21"/>
                <w:lang w:val="en-US" w:eastAsia="zh-CN"/>
              </w:rPr>
              <w:t>2</w:t>
            </w:r>
          </w:p>
        </w:tc>
        <w:tc>
          <w:tcPr>
            <w:tcW w:w="499" w:type="pct"/>
            <w:noWrap w:val="0"/>
            <w:vAlign w:val="center"/>
          </w:tcPr>
          <w:p>
            <w:pPr>
              <w:keepNext w:val="0"/>
              <w:keepLines w:val="0"/>
              <w:widowControl/>
              <w:suppressLineNumbers w:val="0"/>
              <w:jc w:val="center"/>
              <w:textAlignment w:val="center"/>
              <w:rPr>
                <w:rFonts w:hint="eastAsia" w:ascii="宋体" w:hAnsi="宋体"/>
                <w:lang w:val="en-US" w:eastAsia="zh-CN"/>
              </w:rPr>
            </w:pPr>
            <w:r>
              <w:rPr>
                <w:rFonts w:hint="default" w:ascii="宋体" w:hAnsi="宋体" w:eastAsia="宋体"/>
                <w:lang w:val="en-US" w:eastAsia="zh-CN"/>
              </w:rPr>
              <w:t>烫熨治疗贴（眼用）</w:t>
            </w:r>
          </w:p>
        </w:tc>
        <w:tc>
          <w:tcPr>
            <w:tcW w:w="487"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20</w:t>
            </w:r>
          </w:p>
        </w:tc>
        <w:tc>
          <w:tcPr>
            <w:tcW w:w="3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2800片</w:t>
            </w:r>
          </w:p>
        </w:tc>
        <w:tc>
          <w:tcPr>
            <w:tcW w:w="2971" w:type="pct"/>
            <w:noWrap w:val="0"/>
            <w:vAlign w:val="top"/>
          </w:tcPr>
          <w:p>
            <w:pPr>
              <w:rPr>
                <w:rFonts w:hint="default"/>
                <w:lang w:val="en-US" w:eastAsia="zh-CN"/>
              </w:rPr>
            </w:pPr>
            <w:r>
              <w:rPr>
                <w:rFonts w:hint="eastAsia"/>
              </w:rPr>
              <w:t>▲</w:t>
            </w:r>
            <w:r>
              <w:rPr>
                <w:rFonts w:hint="eastAsia"/>
                <w:lang w:val="en-US" w:eastAsia="zh-CN"/>
              </w:rPr>
              <w:t>用途：供医疗机构作为烫熨疗法的热源用。</w:t>
            </w:r>
          </w:p>
          <w:p>
            <w:pPr>
              <w:pStyle w:val="2"/>
              <w:numPr>
                <w:ilvl w:val="0"/>
                <w:numId w:val="0"/>
              </w:numPr>
              <w:rPr>
                <w:rFonts w:hint="default"/>
                <w:lang w:val="en-US" w:eastAsia="zh-CN"/>
              </w:rPr>
            </w:pPr>
            <w:r>
              <w:rPr>
                <w:rFonts w:hint="eastAsia"/>
                <w:lang w:val="en-US" w:eastAsia="zh-CN"/>
              </w:rPr>
              <w:t>1.熔化异常睑脂，通畅睑板腺</w:t>
            </w:r>
          </w:p>
          <w:p>
            <w:pPr>
              <w:numPr>
                <w:ilvl w:val="0"/>
                <w:numId w:val="0"/>
              </w:numPr>
              <w:ind w:leftChars="0"/>
              <w:rPr>
                <w:rFonts w:hint="default"/>
                <w:lang w:val="en-US" w:eastAsia="zh-CN"/>
              </w:rPr>
            </w:pPr>
            <w:r>
              <w:rPr>
                <w:rFonts w:hint="eastAsia"/>
                <w:lang w:val="en-US" w:eastAsia="zh-CN"/>
              </w:rPr>
              <w:t>2.提高腺体活性，促进睑脂分泌</w:t>
            </w: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hint="eastAsia" w:ascii="宋体" w:hAnsi="宋体"/>
                <w:sz w:val="21"/>
                <w:szCs w:val="21"/>
              </w:rPr>
            </w:pPr>
            <w:r>
              <w:rPr>
                <w:rFonts w:hint="eastAsia" w:ascii="宋体" w:hAnsi="宋体"/>
                <w:sz w:val="21"/>
                <w:szCs w:val="21"/>
                <w:lang w:val="en-US" w:eastAsia="zh-CN"/>
              </w:rPr>
              <w:t>3</w:t>
            </w:r>
          </w:p>
        </w:tc>
        <w:tc>
          <w:tcPr>
            <w:tcW w:w="499" w:type="pct"/>
            <w:noWrap w:val="0"/>
            <w:vAlign w:val="center"/>
          </w:tcPr>
          <w:p>
            <w:pPr>
              <w:keepNext w:val="0"/>
              <w:keepLines w:val="0"/>
              <w:widowControl/>
              <w:suppressLineNumbers w:val="0"/>
              <w:jc w:val="center"/>
              <w:textAlignment w:val="center"/>
              <w:rPr>
                <w:rFonts w:hint="eastAsia" w:ascii="宋体" w:hAnsi="宋体"/>
                <w:lang w:val="en-US" w:eastAsia="zh-CN"/>
              </w:rPr>
            </w:pPr>
            <w:r>
              <w:rPr>
                <w:rFonts w:hint="default" w:ascii="宋体" w:hAnsi="宋体" w:eastAsia="宋体"/>
                <w:lang w:val="en-US" w:eastAsia="zh-CN"/>
              </w:rPr>
              <w:t>医用冷敷雾化眼罩</w:t>
            </w:r>
          </w:p>
        </w:tc>
        <w:tc>
          <w:tcPr>
            <w:tcW w:w="487"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80</w:t>
            </w:r>
          </w:p>
        </w:tc>
        <w:tc>
          <w:tcPr>
            <w:tcW w:w="3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100个</w:t>
            </w:r>
          </w:p>
        </w:tc>
        <w:tc>
          <w:tcPr>
            <w:tcW w:w="2971" w:type="pct"/>
            <w:noWrap w:val="0"/>
            <w:vAlign w:val="top"/>
          </w:tcPr>
          <w:p>
            <w:pPr>
              <w:rPr>
                <w:rFonts w:hint="default"/>
                <w:lang w:val="en-US" w:eastAsia="zh-CN"/>
              </w:rPr>
            </w:pPr>
            <w:r>
              <w:rPr>
                <w:rFonts w:hint="eastAsia"/>
              </w:rPr>
              <w:t>▲</w:t>
            </w:r>
            <w:r>
              <w:rPr>
                <w:rFonts w:hint="eastAsia"/>
                <w:lang w:val="en-US" w:eastAsia="zh-CN"/>
              </w:rPr>
              <w:t>用途：佩戴于眼部，用于输送氧气和药物至眼部进行治疗。</w:t>
            </w:r>
          </w:p>
          <w:p>
            <w:pPr>
              <w:pStyle w:val="2"/>
              <w:numPr>
                <w:ilvl w:val="0"/>
                <w:numId w:val="0"/>
              </w:numPr>
              <w:rPr>
                <w:rFonts w:hint="default"/>
                <w:lang w:val="en-US" w:eastAsia="zh-CN"/>
              </w:rPr>
            </w:pPr>
            <w:r>
              <w:rPr>
                <w:rFonts w:hint="eastAsia"/>
                <w:lang w:val="en-US" w:eastAsia="zh-CN"/>
              </w:rPr>
              <w:t>1.用于眼部雾化治疗</w:t>
            </w:r>
          </w:p>
          <w:p>
            <w:pPr>
              <w:numPr>
                <w:ilvl w:val="0"/>
                <w:numId w:val="0"/>
              </w:numPr>
              <w:ind w:leftChars="0"/>
              <w:rPr>
                <w:rFonts w:hint="default"/>
                <w:lang w:val="en-US" w:eastAsia="zh-CN"/>
              </w:rPr>
            </w:pPr>
            <w:r>
              <w:rPr>
                <w:rFonts w:hint="eastAsia"/>
                <w:lang w:val="en-US" w:eastAsia="zh-CN"/>
              </w:rPr>
              <w:t>2.用于输送氧气和药物至眼部进行治疗</w:t>
            </w: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hint="eastAsia" w:ascii="宋体" w:hAnsi="宋体"/>
                <w:sz w:val="21"/>
                <w:szCs w:val="21"/>
              </w:rPr>
            </w:pPr>
            <w:r>
              <w:rPr>
                <w:rFonts w:hint="eastAsia" w:ascii="宋体" w:hAnsi="宋体"/>
                <w:sz w:val="21"/>
                <w:szCs w:val="21"/>
                <w:lang w:val="en-US" w:eastAsia="zh-CN"/>
              </w:rPr>
              <w:t>4</w:t>
            </w:r>
          </w:p>
        </w:tc>
        <w:tc>
          <w:tcPr>
            <w:tcW w:w="499" w:type="pct"/>
            <w:noWrap w:val="0"/>
            <w:vAlign w:val="center"/>
          </w:tcPr>
          <w:p>
            <w:pPr>
              <w:keepNext w:val="0"/>
              <w:keepLines w:val="0"/>
              <w:widowControl/>
              <w:suppressLineNumbers w:val="0"/>
              <w:jc w:val="center"/>
              <w:textAlignment w:val="center"/>
              <w:rPr>
                <w:rFonts w:hint="eastAsia" w:ascii="宋体" w:hAnsi="宋体"/>
                <w:lang w:val="en-US" w:eastAsia="zh-CN"/>
              </w:rPr>
            </w:pPr>
            <w:r>
              <w:rPr>
                <w:rFonts w:hint="default" w:ascii="宋体" w:hAnsi="宋体" w:eastAsia="宋体"/>
                <w:lang w:val="en-US" w:eastAsia="zh-CN"/>
              </w:rPr>
              <w:t>4-松油醇棉片（T）</w:t>
            </w:r>
          </w:p>
        </w:tc>
        <w:tc>
          <w:tcPr>
            <w:tcW w:w="487"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15</w:t>
            </w:r>
          </w:p>
        </w:tc>
        <w:tc>
          <w:tcPr>
            <w:tcW w:w="3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700片</w:t>
            </w:r>
          </w:p>
        </w:tc>
        <w:tc>
          <w:tcPr>
            <w:tcW w:w="2971" w:type="pct"/>
            <w:noWrap w:val="0"/>
            <w:vAlign w:val="top"/>
          </w:tcPr>
          <w:p>
            <w:pPr>
              <w:rPr>
                <w:rFonts w:hint="default"/>
                <w:lang w:val="en-US" w:eastAsia="zh-CN"/>
              </w:rPr>
            </w:pPr>
            <w:r>
              <w:rPr>
                <w:rFonts w:hint="eastAsia"/>
              </w:rPr>
              <w:t>▲</w:t>
            </w:r>
            <w:r>
              <w:rPr>
                <w:rFonts w:hint="eastAsia"/>
                <w:lang w:val="en-US" w:eastAsia="zh-CN"/>
              </w:rPr>
              <w:t>用途：用于对皮肤、创面进行清洁处理。</w:t>
            </w:r>
          </w:p>
          <w:p>
            <w:pPr>
              <w:pStyle w:val="2"/>
              <w:numPr>
                <w:ilvl w:val="0"/>
                <w:numId w:val="0"/>
              </w:numPr>
              <w:rPr>
                <w:rFonts w:hint="default"/>
                <w:lang w:val="en-US" w:eastAsia="zh-CN"/>
              </w:rPr>
            </w:pPr>
            <w:r>
              <w:rPr>
                <w:rFonts w:hint="eastAsia"/>
                <w:lang w:val="en-US" w:eastAsia="zh-CN"/>
              </w:rPr>
              <w:t>1.精准杀螨</w:t>
            </w:r>
          </w:p>
          <w:p>
            <w:pPr>
              <w:numPr>
                <w:ilvl w:val="0"/>
                <w:numId w:val="0"/>
              </w:numPr>
              <w:ind w:leftChars="0"/>
              <w:rPr>
                <w:rFonts w:hint="eastAsia"/>
                <w:lang w:val="en-US" w:eastAsia="zh-CN"/>
              </w:rPr>
            </w:pPr>
            <w:r>
              <w:rPr>
                <w:rFonts w:hint="eastAsia"/>
                <w:lang w:val="en-US" w:eastAsia="zh-CN"/>
              </w:rPr>
              <w:t>2.抑制螨虫增殖</w:t>
            </w:r>
          </w:p>
          <w:p>
            <w:pPr>
              <w:pStyle w:val="2"/>
              <w:rPr>
                <w:rFonts w:hint="eastAsia"/>
                <w:lang w:val="en-US" w:eastAsia="zh-CN"/>
              </w:rPr>
            </w:pPr>
            <w:r>
              <w:rPr>
                <w:rFonts w:hint="eastAsia"/>
                <w:lang w:val="en-US" w:eastAsia="zh-CN"/>
              </w:rPr>
              <w:t>3.改善螨虫引起发眼部不适症状</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结算，且</w:t>
      </w:r>
      <w:r>
        <w:rPr>
          <w:rFonts w:hint="eastAsia" w:ascii="Times New Roman" w:hAnsi="Times New Roman" w:eastAsia="宋体" w:cs="Times New Roman"/>
          <w:lang w:val="en-US" w:eastAsia="zh-CN"/>
        </w:rPr>
        <w:t>每年实际结算</w:t>
      </w:r>
      <w:r>
        <w:rPr>
          <w:rFonts w:hint="eastAsia" w:ascii="Times New Roman" w:hAnsi="Times New Roman" w:eastAsia="宋体" w:cs="Times New Roman"/>
        </w:rPr>
        <w:t>不超过</w:t>
      </w:r>
      <w:r>
        <w:rPr>
          <w:rFonts w:hint="eastAsia" w:ascii="Times New Roman" w:hAnsi="Times New Roman" w:eastAsia="宋体" w:cs="Times New Roman"/>
          <w:lang w:val="en-US" w:eastAsia="zh-CN"/>
        </w:rPr>
        <w:t>投标</w:t>
      </w:r>
      <w:r>
        <w:rPr>
          <w:rFonts w:hint="eastAsia" w:ascii="Times New Roman" w:hAnsi="Times New Roman" w:eastAsia="宋体" w:cs="Times New Roman"/>
        </w:rPr>
        <w:t>总</w:t>
      </w:r>
      <w:r>
        <w:rPr>
          <w:rFonts w:hint="eastAsia" w:ascii="Times New Roman" w:hAnsi="Times New Roman" w:eastAsia="宋体" w:cs="Times New Roman"/>
          <w:lang w:val="en-US" w:eastAsia="zh-CN"/>
        </w:rPr>
        <w:t>价</w:t>
      </w:r>
      <w:r>
        <w:rPr>
          <w:rFonts w:hint="eastAsia" w:ascii="Times New Roman" w:hAnsi="Times New Roman" w:eastAsia="宋体" w:cs="Times New Roman"/>
        </w:rPr>
        <w:t>。</w:t>
      </w: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2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972"/>
        <w:gridCol w:w="552"/>
        <w:gridCol w:w="4200"/>
        <w:gridCol w:w="4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2" w:hRule="atLeast"/>
          <w:jc w:val="center"/>
        </w:trPr>
        <w:tc>
          <w:tcPr>
            <w:tcW w:w="189"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465"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264"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012"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2067"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465"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2012"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2067" w:type="pct"/>
            <w:noWrap w:val="0"/>
            <w:vAlign w:val="center"/>
          </w:tcPr>
          <w:p>
            <w:pPr>
              <w:widowControl/>
              <w:numPr>
                <w:ilvl w:val="0"/>
                <w:numId w:val="1"/>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1"/>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465"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41</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41</w:t>
            </w:r>
          </w:p>
        </w:tc>
        <w:tc>
          <w:tcPr>
            <w:tcW w:w="2012"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投标人提供的试剂耗材的技术参数完全符合招标文件要求，没有负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41</w:t>
            </w:r>
            <w:r>
              <w:rPr>
                <w:rFonts w:hint="eastAsia" w:ascii="宋体" w:hAnsi="宋体" w:cs="宋体"/>
                <w:color w:val="auto"/>
                <w:kern w:val="0"/>
                <w:sz w:val="18"/>
                <w:szCs w:val="18"/>
              </w:rPr>
              <w:t>分；非“★”条款技术参数不满足招标文件要求（负偏离），一次扣</w:t>
            </w: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2067" w:type="pct"/>
            <w:noWrap w:val="0"/>
            <w:vAlign w:val="center"/>
          </w:tcPr>
          <w:p>
            <w:pPr>
              <w:widowControl/>
              <w:wordWrap w:val="0"/>
              <w:spacing w:line="270" w:lineRule="atLeast"/>
              <w:jc w:val="left"/>
              <w:rPr>
                <w:rFonts w:ascii="宋体" w:hAnsi="宋体" w:cs="Segoe UI"/>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89"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465"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p>
        </w:tc>
        <w:tc>
          <w:tcPr>
            <w:tcW w:w="2012"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根据响应产品样品及产品说明书，从样品的外观、材质、性能3个方面进行评价，每有1个方面不符合临床需求的扣4分，扣完为止。未提供或提供不全本项不得分。</w:t>
            </w:r>
          </w:p>
        </w:tc>
        <w:tc>
          <w:tcPr>
            <w:tcW w:w="2067"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89"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465"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10</w:t>
            </w:r>
          </w:p>
        </w:tc>
        <w:tc>
          <w:tcPr>
            <w:tcW w:w="2012"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21</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2067"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hint="eastAsia" w:ascii="宋体" w:hAnsi="宋体" w:eastAsia="宋体" w:cs="Segoe UI"/>
                <w:color w:val="000000"/>
                <w:kern w:val="0"/>
                <w:sz w:val="18"/>
                <w:szCs w:val="18"/>
                <w:lang w:val="en-US" w:eastAsia="zh-CN" w:bidi="ar-SA"/>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189"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465" w:type="pc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264" w:type="pct"/>
            <w:noWrap w:val="0"/>
            <w:vAlign w:val="center"/>
          </w:tcPr>
          <w:p>
            <w:pPr>
              <w:widowControl/>
              <w:spacing w:line="320" w:lineRule="atLeast"/>
              <w:ind w:left="-105" w:leftChars="0" w:right="-107" w:rightChars="0"/>
              <w:jc w:val="center"/>
              <w:rPr>
                <w:rFonts w:hint="eastAsia"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9</w:t>
            </w:r>
          </w:p>
        </w:tc>
        <w:tc>
          <w:tcPr>
            <w:tcW w:w="2012" w:type="pct"/>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2067" w:type="pct"/>
            <w:noWrap w:val="0"/>
            <w:vAlign w:val="center"/>
          </w:tcPr>
          <w:p>
            <w:pPr>
              <w:wordWrap w:val="0"/>
              <w:jc w:val="left"/>
              <w:rPr>
                <w:rFonts w:ascii="宋体" w:hAnsi="宋体" w:cs="Segoe UI"/>
                <w:color w:val="000000"/>
                <w:kern w:val="0"/>
                <w:sz w:val="18"/>
                <w:szCs w:val="18"/>
                <w:lang w:val="en-US" w:eastAsia="zh-CN" w:bidi="ar-SA"/>
              </w:rPr>
            </w:pPr>
          </w:p>
        </w:tc>
      </w:tr>
    </w:tbl>
    <w:p>
      <w:pPr>
        <w:pStyle w:val="2"/>
        <w:rPr>
          <w:rFonts w:hint="eastAsia"/>
        </w:rPr>
      </w:pPr>
    </w:p>
    <w:p>
      <w:pPr>
        <w:shd w:val="clear"/>
      </w:pPr>
    </w:p>
    <w:p>
      <w:pPr>
        <w:widowControl/>
        <w:shd w:val="clear"/>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w:t>
      </w:r>
      <w:r>
        <w:rPr>
          <w:rFonts w:hint="eastAsia" w:ascii="仿宋_GB2312" w:hAnsi="Segoe UI" w:eastAsia="仿宋_GB2312" w:cs="Segoe UI"/>
          <w:color w:val="000000" w:themeColor="text1"/>
          <w:kern w:val="0"/>
          <w:sz w:val="24"/>
          <w:szCs w:val="24"/>
          <w:lang w:val="en-US" w:eastAsia="zh-CN"/>
        </w:rPr>
        <w:t>4</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spacing w:val="8"/>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15614"/>
      <w:bookmarkStart w:id="3" w:name="_Toc21163"/>
      <w:bookmarkStart w:id="4" w:name="_Toc9234"/>
      <w:bookmarkStart w:id="5" w:name="_Toc21676"/>
      <w:bookmarkStart w:id="6" w:name="_Toc34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4802"/>
      <w:bookmarkStart w:id="8" w:name="_Toc11076"/>
      <w:bookmarkStart w:id="9" w:name="_Toc30275"/>
      <w:bookmarkStart w:id="10" w:name="_Toc5499"/>
      <w:bookmarkStart w:id="11" w:name="_Toc5208"/>
      <w:bookmarkStart w:id="12" w:name="_Toc12490"/>
      <w:bookmarkStart w:id="13" w:name="_Toc60"/>
      <w:bookmarkStart w:id="14" w:name="_Toc30494"/>
      <w:bookmarkStart w:id="15" w:name="_Toc10689"/>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32214"/>
      <w:bookmarkStart w:id="17" w:name="_Toc13021"/>
      <w:bookmarkStart w:id="18" w:name="_Toc30724"/>
      <w:bookmarkStart w:id="19" w:name="_Toc26481"/>
      <w:bookmarkStart w:id="20" w:name="_Toc3912"/>
      <w:bookmarkStart w:id="21" w:name="_Toc28103"/>
      <w:bookmarkStart w:id="22" w:name="_Toc7067"/>
      <w:bookmarkStart w:id="23" w:name="_Toc9131"/>
      <w:bookmarkStart w:id="24" w:name="_Toc10948"/>
      <w:bookmarkStart w:id="25" w:name="_Toc3081"/>
      <w:bookmarkStart w:id="26" w:name="_Toc10183"/>
      <w:bookmarkStart w:id="27" w:name="_Toc3447"/>
      <w:bookmarkStart w:id="28" w:name="_Toc8717"/>
      <w:bookmarkStart w:id="29" w:name="_Toc18879"/>
      <w:bookmarkStart w:id="30" w:name="_Toc3392"/>
      <w:bookmarkStart w:id="31" w:name="_Toc30080"/>
      <w:bookmarkStart w:id="32" w:name="_Toc18513"/>
      <w:bookmarkStart w:id="33" w:name="_Toc19115"/>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8259"/>
      <w:bookmarkStart w:id="35" w:name="_Toc7249"/>
      <w:bookmarkStart w:id="36" w:name="_Toc15196"/>
      <w:bookmarkStart w:id="37" w:name="_Toc9042"/>
      <w:bookmarkStart w:id="38" w:name="_Toc23645"/>
      <w:bookmarkStart w:id="39" w:name="_Toc22795"/>
      <w:bookmarkStart w:id="40" w:name="_Toc10142"/>
      <w:bookmarkStart w:id="41" w:name="_Toc30649"/>
      <w:bookmarkStart w:id="42" w:name="_Toc30920"/>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4"/>
      <w:bookmarkStart w:id="46" w:name="_Toc19600"/>
      <w:bookmarkStart w:id="47" w:name="_Toc4775"/>
      <w:bookmarkStart w:id="48" w:name="_Toc21988"/>
      <w:bookmarkStart w:id="49" w:name="_Toc24117"/>
      <w:bookmarkStart w:id="50" w:name="_Toc26548"/>
      <w:bookmarkStart w:id="51" w:name="_Toc3534"/>
      <w:bookmarkStart w:id="52" w:name="_Toc25516"/>
      <w:bookmarkStart w:id="53" w:name="_Toc30083"/>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6666"/>
      <w:bookmarkStart w:id="55" w:name="_Toc21982"/>
      <w:bookmarkStart w:id="56" w:name="_Toc22198"/>
      <w:bookmarkStart w:id="57" w:name="_Toc16764"/>
      <w:bookmarkStart w:id="58" w:name="_Toc12333"/>
      <w:bookmarkStart w:id="59" w:name="_Toc691"/>
      <w:bookmarkStart w:id="60" w:name="_Toc23192"/>
      <w:bookmarkStart w:id="61" w:name="_Toc32166"/>
      <w:bookmarkStart w:id="62" w:name="_Toc3494"/>
      <w:bookmarkStart w:id="63" w:name="_Toc27376"/>
      <w:bookmarkStart w:id="64" w:name="_Toc14887"/>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22606"/>
      <w:bookmarkStart w:id="66" w:name="_Toc10013"/>
      <w:bookmarkStart w:id="67" w:name="_Toc3943"/>
      <w:bookmarkStart w:id="68" w:name="_Toc31581"/>
      <w:bookmarkStart w:id="69" w:name="_Toc9263"/>
      <w:bookmarkStart w:id="70" w:name="_Toc5412"/>
      <w:bookmarkStart w:id="71" w:name="_Toc4577"/>
      <w:bookmarkStart w:id="72" w:name="_Toc14269"/>
      <w:bookmarkStart w:id="73" w:name="_Toc1371"/>
      <w:bookmarkStart w:id="74" w:name="_Toc25068"/>
      <w:bookmarkStart w:id="75" w:name="_Toc11914"/>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2316"/>
      <w:bookmarkStart w:id="77" w:name="_Toc31890"/>
      <w:bookmarkStart w:id="78" w:name="_Toc18935"/>
      <w:bookmarkStart w:id="79" w:name="_Toc2937"/>
      <w:bookmarkStart w:id="80" w:name="_Toc10600"/>
      <w:bookmarkStart w:id="81" w:name="_Toc29190"/>
      <w:bookmarkStart w:id="82" w:name="_Toc13677"/>
      <w:bookmarkStart w:id="83" w:name="_Toc3908"/>
      <w:bookmarkStart w:id="84" w:name="_Toc17108"/>
      <w:bookmarkStart w:id="85" w:name="_Toc11489"/>
      <w:bookmarkStart w:id="86" w:name="_Toc13267"/>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31638"/>
      <w:bookmarkStart w:id="88" w:name="_Toc12088"/>
      <w:bookmarkStart w:id="89" w:name="_Toc21351"/>
      <w:bookmarkStart w:id="90" w:name="_Toc24122"/>
      <w:bookmarkStart w:id="91" w:name="_Toc15916"/>
      <w:bookmarkStart w:id="92" w:name="_Toc32365"/>
      <w:bookmarkStart w:id="93" w:name="_Toc26756"/>
      <w:bookmarkStart w:id="94" w:name="_Toc14252"/>
      <w:bookmarkStart w:id="95" w:name="_Toc1313"/>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7985"/>
      <w:bookmarkStart w:id="98" w:name="_Toc23212"/>
      <w:bookmarkStart w:id="99" w:name="_Toc26609"/>
      <w:bookmarkStart w:id="100" w:name="_Toc9398"/>
      <w:bookmarkStart w:id="101" w:name="_Toc15083"/>
      <w:bookmarkStart w:id="102" w:name="_Toc11278"/>
      <w:bookmarkStart w:id="103" w:name="_Toc27948"/>
      <w:bookmarkStart w:id="104" w:name="_Toc18046"/>
      <w:bookmarkStart w:id="105" w:name="_Toc10583"/>
      <w:bookmarkStart w:id="106" w:name="_Toc19589"/>
      <w:bookmarkStart w:id="107" w:name="_Toc15894"/>
      <w:bookmarkStart w:id="108" w:name="_Toc29215"/>
      <w:bookmarkStart w:id="109" w:name="_Toc22760"/>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8940"/>
      <w:bookmarkStart w:id="111" w:name="_Toc24655"/>
      <w:bookmarkStart w:id="112" w:name="_Toc8348"/>
      <w:bookmarkStart w:id="113" w:name="_Toc17741"/>
      <w:bookmarkStart w:id="114" w:name="_Toc757"/>
      <w:bookmarkStart w:id="115" w:name="_Toc24107"/>
      <w:bookmarkStart w:id="116" w:name="_Toc14546"/>
      <w:bookmarkStart w:id="117" w:name="_Toc24671"/>
      <w:bookmarkStart w:id="118" w:name="_Toc4116"/>
      <w:bookmarkStart w:id="119" w:name="_Toc8083"/>
      <w:bookmarkStart w:id="120" w:name="_Toc17204"/>
      <w:bookmarkStart w:id="121" w:name="_Toc27767"/>
      <w:bookmarkStart w:id="122" w:name="_Toc29648"/>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2682"/>
      <w:bookmarkStart w:id="124" w:name="_Toc10945"/>
      <w:bookmarkStart w:id="125" w:name="_Toc2003"/>
      <w:bookmarkStart w:id="126" w:name="_Toc10950"/>
      <w:bookmarkStart w:id="127" w:name="_Toc14781"/>
      <w:bookmarkStart w:id="128" w:name="_Toc15917"/>
      <w:bookmarkStart w:id="129" w:name="_Toc5840"/>
      <w:bookmarkStart w:id="130" w:name="_Toc22243"/>
      <w:bookmarkStart w:id="131" w:name="_Toc20745"/>
      <w:bookmarkStart w:id="132" w:name="_Toc24280"/>
      <w:bookmarkStart w:id="133" w:name="_Toc10308"/>
      <w:bookmarkStart w:id="134" w:name="_Toc8524"/>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lang w:val="en-US" w:eastAsia="zh-CN"/>
        </w:rPr>
        <w:t>眼部理疗产品（第二次</w:t>
      </w:r>
      <w:bookmarkStart w:id="135" w:name="_GoBack"/>
      <w:bookmarkEnd w:id="135"/>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BF815CE"/>
    <w:rsid w:val="0E911C5D"/>
    <w:rsid w:val="10954EC2"/>
    <w:rsid w:val="12A81059"/>
    <w:rsid w:val="13485B4A"/>
    <w:rsid w:val="14456F80"/>
    <w:rsid w:val="195D2073"/>
    <w:rsid w:val="1A37043E"/>
    <w:rsid w:val="228C2840"/>
    <w:rsid w:val="26D9225C"/>
    <w:rsid w:val="272816FC"/>
    <w:rsid w:val="28203DA9"/>
    <w:rsid w:val="2E811DD5"/>
    <w:rsid w:val="357C4381"/>
    <w:rsid w:val="364F4E7F"/>
    <w:rsid w:val="365344A5"/>
    <w:rsid w:val="38BB478A"/>
    <w:rsid w:val="396510AC"/>
    <w:rsid w:val="3ED3727D"/>
    <w:rsid w:val="405F3E1B"/>
    <w:rsid w:val="41EE0E8D"/>
    <w:rsid w:val="4669398D"/>
    <w:rsid w:val="48983A5D"/>
    <w:rsid w:val="4AE36A9A"/>
    <w:rsid w:val="4B7A520A"/>
    <w:rsid w:val="4C5E41EC"/>
    <w:rsid w:val="4EE10A0C"/>
    <w:rsid w:val="51CB3FD0"/>
    <w:rsid w:val="52373124"/>
    <w:rsid w:val="53914C7E"/>
    <w:rsid w:val="5536063D"/>
    <w:rsid w:val="55F211D3"/>
    <w:rsid w:val="56183BA8"/>
    <w:rsid w:val="577B25E6"/>
    <w:rsid w:val="5C452678"/>
    <w:rsid w:val="5FEC0FA4"/>
    <w:rsid w:val="60795DD8"/>
    <w:rsid w:val="61DB5EE7"/>
    <w:rsid w:val="62FA0171"/>
    <w:rsid w:val="637366D0"/>
    <w:rsid w:val="63E72E68"/>
    <w:rsid w:val="64ED5044"/>
    <w:rsid w:val="65C660EF"/>
    <w:rsid w:val="65DA011F"/>
    <w:rsid w:val="66D20681"/>
    <w:rsid w:val="672843F4"/>
    <w:rsid w:val="6A052BEC"/>
    <w:rsid w:val="6A38583D"/>
    <w:rsid w:val="6C0F1984"/>
    <w:rsid w:val="6CF82393"/>
    <w:rsid w:val="701306BF"/>
    <w:rsid w:val="70717D71"/>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2</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陈胜科</cp:lastModifiedBy>
  <dcterms:modified xsi:type="dcterms:W3CDTF">2024-07-15T01:57:14Z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