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Theme="minorEastAsia" w:hAnsiTheme="minorEastAsia" w:eastAsiaTheme="minorEastAsia" w:cstheme="minorEastAsia"/>
          <w:sz w:val="21"/>
          <w:szCs w:val="21"/>
        </w:rPr>
        <w:t>★</w:t>
      </w:r>
      <w:r>
        <w:rPr>
          <w:rFonts w:hint="eastAsia" w:ascii="宋体" w:hAnsi="宋体" w:eastAsia="宋体" w:cs="仿宋"/>
          <w:bCs w:val="0"/>
          <w:sz w:val="24"/>
          <w:szCs w:val="24"/>
        </w:rPr>
        <w:t>”符号的条款为本项目的重要参数条款，未标识符号的条款为一般参数条款。</w:t>
      </w:r>
    </w:p>
    <w:p>
      <w:pPr>
        <w:pStyle w:val="3"/>
        <w:numPr>
          <w:ilvl w:val="0"/>
          <w:numId w:val="1"/>
        </w:numPr>
        <w:shd w:val="clear"/>
        <w:spacing w:after="0" w:line="360" w:lineRule="auto"/>
        <w:ind w:firstLine="236" w:firstLineChars="98"/>
        <w:rPr>
          <w:rFonts w:hint="eastAsia" w:ascii="宋体" w:hAnsi="宋体" w:eastAsia="宋体" w:cs="仿宋"/>
          <w:sz w:val="24"/>
          <w:szCs w:val="24"/>
          <w:lang w:val="en-US" w:eastAsia="zh-CN"/>
        </w:rPr>
      </w:pPr>
      <w:r>
        <w:rPr>
          <w:rFonts w:hint="eastAsia" w:ascii="宋体" w:hAnsi="宋体" w:eastAsia="宋体" w:cs="仿宋"/>
          <w:sz w:val="24"/>
          <w:szCs w:val="24"/>
          <w:lang w:val="en-US" w:eastAsia="zh-CN"/>
        </w:rPr>
        <w:t>采购项目编号：SCFY-YXZB202406-007（磋）</w:t>
      </w:r>
      <w:bookmarkStart w:id="135" w:name="_GoBack"/>
      <w:bookmarkEnd w:id="135"/>
    </w:p>
    <w:p>
      <w:pPr>
        <w:pStyle w:val="3"/>
        <w:numPr>
          <w:ilvl w:val="0"/>
          <w:numId w:val="1"/>
        </w:numPr>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b/>
          <w:bCs/>
          <w:kern w:val="0"/>
          <w:sz w:val="24"/>
          <w:szCs w:val="24"/>
          <w:lang w:val="en-US" w:eastAsia="zh-CN" w:bidi="ar-SA"/>
        </w:rPr>
        <w:t>年度采购预算：42万元/年</w:t>
      </w:r>
    </w:p>
    <w:p>
      <w:pPr>
        <w:pStyle w:val="3"/>
        <w:numPr>
          <w:ilvl w:val="0"/>
          <w:numId w:val="1"/>
        </w:numPr>
        <w:shd w:val="clear"/>
        <w:spacing w:after="0" w:line="360" w:lineRule="auto"/>
        <w:ind w:left="0" w:leftChars="0" w:firstLine="236" w:firstLineChars="98"/>
        <w:rPr>
          <w:rFonts w:hint="eastAsia" w:ascii="宋体" w:hAnsi="宋体" w:eastAsia="宋体" w:cs="仿宋"/>
          <w:sz w:val="24"/>
          <w:szCs w:val="24"/>
        </w:rPr>
      </w:pPr>
      <w:r>
        <w:rPr>
          <w:rFonts w:hint="eastAsia" w:ascii="宋体" w:hAnsi="宋体" w:eastAsia="宋体" w:cs="仿宋"/>
          <w:sz w:val="24"/>
          <w:szCs w:val="24"/>
        </w:rPr>
        <w:t>项目清单及技术要求：</w:t>
      </w:r>
    </w:p>
    <w:bookmarkEnd w:id="0"/>
    <w:tbl>
      <w:tblPr>
        <w:tblStyle w:val="12"/>
        <w:tblpPr w:leftFromText="180" w:rightFromText="180" w:vertAnchor="text" w:horzAnchor="page" w:tblpXSpec="center" w:tblpY="456"/>
        <w:tblOverlap w:val="never"/>
        <w:tblW w:w="53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040"/>
        <w:gridCol w:w="1120"/>
        <w:gridCol w:w="1076"/>
        <w:gridCol w:w="6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2" w:type="pct"/>
            <w:vAlign w:val="center"/>
          </w:tcPr>
          <w:p>
            <w:pPr>
              <w:autoSpaceDE w:val="0"/>
              <w:autoSpaceDN w:val="0"/>
              <w:jc w:val="left"/>
              <w:rPr>
                <w:rFonts w:hint="eastAsia" w:asciiTheme="minorEastAsia" w:hAnsiTheme="minorEastAsia" w:eastAsiaTheme="minorEastAsia" w:cstheme="minorEastAsia"/>
                <w:b/>
                <w:sz w:val="21"/>
                <w:szCs w:val="21"/>
              </w:rPr>
            </w:pPr>
            <w:bookmarkStart w:id="1" w:name="_Toc217446095"/>
            <w:r>
              <w:rPr>
                <w:rFonts w:hint="eastAsia" w:asciiTheme="minorEastAsia" w:hAnsiTheme="minorEastAsia" w:eastAsiaTheme="minorEastAsia" w:cstheme="minorEastAsia"/>
                <w:b/>
                <w:sz w:val="21"/>
                <w:szCs w:val="21"/>
              </w:rPr>
              <w:t>序号</w:t>
            </w:r>
          </w:p>
        </w:tc>
        <w:tc>
          <w:tcPr>
            <w:tcW w:w="485" w:type="pct"/>
            <w:vAlign w:val="center"/>
          </w:tcPr>
          <w:p>
            <w:pPr>
              <w:autoSpaceDE w:val="0"/>
              <w:autoSpaceDN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产品名称</w:t>
            </w:r>
          </w:p>
        </w:tc>
        <w:tc>
          <w:tcPr>
            <w:tcW w:w="522" w:type="pct"/>
            <w:vAlign w:val="center"/>
          </w:tcPr>
          <w:p>
            <w:pPr>
              <w:autoSpaceDE w:val="0"/>
              <w:autoSpaceDN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预算单价（元）</w:t>
            </w:r>
          </w:p>
        </w:tc>
        <w:tc>
          <w:tcPr>
            <w:tcW w:w="501" w:type="pct"/>
            <w:vAlign w:val="center"/>
          </w:tcPr>
          <w:p>
            <w:pPr>
              <w:autoSpaceDE w:val="0"/>
              <w:autoSpaceDN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预估年度</w:t>
            </w:r>
          </w:p>
          <w:p>
            <w:pPr>
              <w:autoSpaceDE w:val="0"/>
              <w:autoSpaceDN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用量</w:t>
            </w:r>
          </w:p>
        </w:tc>
        <w:tc>
          <w:tcPr>
            <w:tcW w:w="3227" w:type="pct"/>
            <w:vAlign w:val="center"/>
          </w:tcPr>
          <w:p>
            <w:pPr>
              <w:autoSpaceDE w:val="0"/>
              <w:autoSpaceDN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2" w:type="pct"/>
            <w:vAlign w:val="center"/>
          </w:tcPr>
          <w:p>
            <w:pPr>
              <w:autoSpaceDE w:val="0"/>
              <w:autoSpaceDN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485" w:type="pct"/>
            <w:vAlign w:val="center"/>
          </w:tcPr>
          <w:p>
            <w:pPr>
              <w:widowControl/>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一次性使用麻醉穿刺包（分娩镇痛专用）</w:t>
            </w:r>
          </w:p>
        </w:tc>
        <w:tc>
          <w:tcPr>
            <w:tcW w:w="522" w:type="pct"/>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280元</w:t>
            </w:r>
          </w:p>
        </w:tc>
        <w:tc>
          <w:tcPr>
            <w:tcW w:w="501" w:type="pct"/>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1500个</w:t>
            </w:r>
          </w:p>
        </w:tc>
        <w:tc>
          <w:tcPr>
            <w:tcW w:w="3227" w:type="pct"/>
          </w:tcPr>
          <w:p>
            <w:pPr>
              <w:widowControl/>
              <w:jc w:val="left"/>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▲用途：用于椎管内阻滞分娩镇痛</w:t>
            </w:r>
            <w:r>
              <w:rPr>
                <w:rFonts w:hint="eastAsia" w:asciiTheme="minorEastAsia" w:hAnsiTheme="minorEastAsia" w:eastAsiaTheme="minorEastAsia" w:cstheme="minorEastAsia"/>
                <w:sz w:val="21"/>
                <w:szCs w:val="21"/>
                <w:lang w:eastAsia="zh-CN"/>
              </w:rPr>
              <w:t>。</w:t>
            </w:r>
          </w:p>
          <w:p>
            <w:pPr>
              <w:widowControl/>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配置：由麻醉硬膜外穿刺针、腰椎穿刺针、药液过滤器、空气过滤器、硬膜外麻醉导管、导管接头、一次性使用注射器、</w:t>
            </w:r>
            <w:r>
              <w:rPr>
                <w:rFonts w:hint="eastAsia" w:asciiTheme="minorEastAsia" w:hAnsiTheme="minorEastAsia" w:eastAsiaTheme="minorEastAsia" w:cstheme="minorEastAsia"/>
                <w:sz w:val="21"/>
                <w:szCs w:val="21"/>
              </w:rPr>
              <w:t>锐</w:t>
            </w:r>
            <w:r>
              <w:rPr>
                <w:rFonts w:hint="eastAsia" w:asciiTheme="minorEastAsia" w:hAnsiTheme="minorEastAsia" w:eastAsiaTheme="minorEastAsia" w:cstheme="minorEastAsia"/>
                <w:sz w:val="21"/>
                <w:szCs w:val="21"/>
                <w:lang w:val="en-US" w:eastAsia="zh-CN"/>
              </w:rPr>
              <w:t>器</w:t>
            </w:r>
            <w:r>
              <w:rPr>
                <w:rFonts w:hint="eastAsia" w:asciiTheme="minorEastAsia" w:hAnsiTheme="minorEastAsia" w:eastAsiaTheme="minorEastAsia" w:cstheme="minorEastAsia"/>
                <w:sz w:val="21"/>
                <w:szCs w:val="21"/>
              </w:rPr>
              <w:t>收集器</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医用固定敷贴等组成。</w:t>
            </w:r>
          </w:p>
          <w:p>
            <w:pPr>
              <w:widowControl/>
              <w:jc w:val="left"/>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一次性使用硬膜外穿刺针</w:t>
            </w:r>
            <w:r>
              <w:rPr>
                <w:rFonts w:hint="eastAsia" w:asciiTheme="minorEastAsia" w:hAnsiTheme="minorEastAsia" w:eastAsiaTheme="minorEastAsia" w:cstheme="minorEastAsia"/>
                <w:sz w:val="21"/>
                <w:szCs w:val="21"/>
                <w:lang w:val="en-US" w:eastAsia="zh-CN"/>
              </w:rPr>
              <w:t>材质为医用不锈钢，刻度明显</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内外壁光滑，</w:t>
            </w:r>
            <w:r>
              <w:rPr>
                <w:rFonts w:hint="eastAsia" w:asciiTheme="minorEastAsia" w:hAnsiTheme="minorEastAsia" w:eastAsiaTheme="minorEastAsia" w:cstheme="minorEastAsia"/>
                <w:sz w:val="21"/>
                <w:szCs w:val="21"/>
              </w:rPr>
              <w:t>刺穿力小于20N</w:t>
            </w:r>
            <w:r>
              <w:rPr>
                <w:rFonts w:hint="eastAsia" w:asciiTheme="minorEastAsia" w:hAnsiTheme="minorEastAsia" w:eastAsiaTheme="minorEastAsia" w:cstheme="minorEastAsia"/>
                <w:sz w:val="21"/>
                <w:szCs w:val="21"/>
                <w:lang w:eastAsia="zh-CN"/>
              </w:rPr>
              <w:t>。硬膜外针</w:t>
            </w:r>
            <w:r>
              <w:rPr>
                <w:rFonts w:hint="eastAsia" w:asciiTheme="minorEastAsia" w:hAnsiTheme="minorEastAsia" w:eastAsiaTheme="minorEastAsia" w:cstheme="minorEastAsia"/>
                <w:sz w:val="21"/>
                <w:szCs w:val="21"/>
                <w:lang w:val="en-US" w:eastAsia="zh-CN"/>
              </w:rPr>
              <w:t>针尖无尖锐边缘，</w:t>
            </w:r>
            <w:r>
              <w:rPr>
                <w:rFonts w:hint="eastAsia" w:asciiTheme="minorEastAsia" w:hAnsiTheme="minorEastAsia" w:eastAsiaTheme="minorEastAsia" w:cstheme="minorEastAsia"/>
                <w:sz w:val="21"/>
                <w:szCs w:val="21"/>
                <w:lang w:eastAsia="zh-CN"/>
              </w:rPr>
              <w:t>防损伤麻醉导管。</w:t>
            </w:r>
          </w:p>
          <w:p>
            <w:pPr>
              <w:widowControl/>
              <w:jc w:val="left"/>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一次性使用腰椎穿刺针Ⅱ型</w:t>
            </w:r>
            <w:r>
              <w:rPr>
                <w:rFonts w:hint="eastAsia" w:asciiTheme="minorEastAsia" w:hAnsiTheme="minorEastAsia" w:eastAsiaTheme="minorEastAsia" w:cstheme="minorEastAsia"/>
                <w:sz w:val="21"/>
                <w:szCs w:val="21"/>
                <w:lang w:val="en-US" w:eastAsia="zh-CN"/>
              </w:rPr>
              <w:t>材质为</w:t>
            </w:r>
            <w:r>
              <w:rPr>
                <w:rFonts w:hint="eastAsia" w:asciiTheme="minorEastAsia" w:hAnsiTheme="minorEastAsia" w:eastAsiaTheme="minorEastAsia" w:cstheme="minorEastAsia"/>
                <w:sz w:val="21"/>
                <w:szCs w:val="21"/>
              </w:rPr>
              <w:t>医用级不锈钢</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外径</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0.5mm，笔尖式</w:t>
            </w:r>
            <w:r>
              <w:rPr>
                <w:rFonts w:hint="eastAsia" w:asciiTheme="minorEastAsia" w:hAnsiTheme="minorEastAsia" w:eastAsiaTheme="minorEastAsia" w:cstheme="minorEastAsia"/>
                <w:sz w:val="21"/>
                <w:szCs w:val="21"/>
                <w:lang w:val="en-US" w:eastAsia="zh-CN"/>
              </w:rPr>
              <w:t>头端</w:t>
            </w:r>
            <w:r>
              <w:rPr>
                <w:rFonts w:hint="eastAsia" w:asciiTheme="minorEastAsia" w:hAnsiTheme="minorEastAsia" w:eastAsiaTheme="minorEastAsia" w:cstheme="minorEastAsia"/>
                <w:sz w:val="21"/>
                <w:szCs w:val="21"/>
              </w:rPr>
              <w:t>，侧孔距离针尖小于2mm，刺穿力小于2.5N</w:t>
            </w:r>
            <w:r>
              <w:rPr>
                <w:rFonts w:hint="eastAsia" w:asciiTheme="minorEastAsia" w:hAnsiTheme="minorEastAsia" w:eastAsiaTheme="minorEastAsia" w:cstheme="minorEastAsia"/>
                <w:sz w:val="21"/>
                <w:szCs w:val="21"/>
                <w:lang w:eastAsia="zh-CN"/>
              </w:rPr>
              <w:t>。</w:t>
            </w:r>
          </w:p>
          <w:p>
            <w:pPr>
              <w:pStyle w:val="2"/>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4.药液过滤器过滤介质标称孔径应不大于2.0μm，滤除率应不小于90%</w:t>
            </w:r>
            <w:r>
              <w:rPr>
                <w:rFonts w:hint="eastAsia" w:asciiTheme="minorEastAsia" w:hAnsiTheme="minorEastAsia" w:eastAsiaTheme="minorEastAsia" w:cstheme="minorEastAsia"/>
                <w:sz w:val="21"/>
                <w:szCs w:val="21"/>
                <w:lang w:eastAsia="zh-CN"/>
              </w:rPr>
              <w:t>。空气过滤器滤除空气中≥0.5μm的微粒滤除率应不小于90%。</w:t>
            </w:r>
          </w:p>
          <w:p>
            <w:pPr>
              <w:widowControl/>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麻醉导管：超强抗打折，防堵管；尖端柔软，防损伤，抗断裂、降低医疗风险</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 xml:space="preserve">  </w:t>
            </w:r>
          </w:p>
          <w:p>
            <w:pPr>
              <w:widowControl/>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麻醉导管</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外径：1.0mm±0.05mm</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头端出药口</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3个</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使</w:t>
            </w:r>
            <w:r>
              <w:rPr>
                <w:rFonts w:hint="eastAsia" w:asciiTheme="minorEastAsia" w:hAnsiTheme="minorEastAsia" w:eastAsiaTheme="minorEastAsia" w:cstheme="minorEastAsia"/>
                <w:sz w:val="21"/>
                <w:szCs w:val="21"/>
                <w:lang w:eastAsia="zh-CN"/>
              </w:rPr>
              <w:t>药物弥散均匀，麻醉平面更好；</w:t>
            </w:r>
            <w:r>
              <w:rPr>
                <w:rFonts w:hint="eastAsia" w:asciiTheme="minorEastAsia" w:hAnsiTheme="minorEastAsia" w:eastAsiaTheme="minorEastAsia" w:cstheme="minorEastAsia"/>
                <w:sz w:val="21"/>
                <w:szCs w:val="21"/>
              </w:rPr>
              <w:t>360°环周刻度标识</w:t>
            </w:r>
            <w:r>
              <w:rPr>
                <w:rFonts w:hint="eastAsia" w:asciiTheme="minorEastAsia" w:hAnsiTheme="minorEastAsia" w:eastAsiaTheme="minorEastAsia" w:cstheme="minorEastAsia"/>
                <w:sz w:val="21"/>
                <w:szCs w:val="21"/>
                <w:lang w:val="en-US" w:eastAsia="zh-CN"/>
              </w:rPr>
              <w:t>方便观察。</w:t>
            </w:r>
          </w:p>
          <w:p>
            <w:pPr>
              <w:widowControl/>
              <w:jc w:val="left"/>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配备</w:t>
            </w:r>
            <w:r>
              <w:rPr>
                <w:rFonts w:hint="eastAsia" w:asciiTheme="minorEastAsia" w:hAnsiTheme="minorEastAsia" w:eastAsiaTheme="minorEastAsia" w:cstheme="minorEastAsia"/>
                <w:sz w:val="21"/>
                <w:szCs w:val="21"/>
              </w:rPr>
              <w:t>金属头直口玻璃注射器</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防脱防碎，推注顺滑，手感判断清晰</w:t>
            </w:r>
            <w:r>
              <w:rPr>
                <w:rFonts w:hint="eastAsia" w:asciiTheme="minorEastAsia" w:hAnsiTheme="minorEastAsia" w:eastAsiaTheme="minorEastAsia" w:cstheme="minorEastAsia"/>
                <w:sz w:val="21"/>
                <w:szCs w:val="21"/>
                <w:lang w:eastAsia="zh-CN"/>
              </w:rPr>
              <w:t>。</w:t>
            </w:r>
          </w:p>
          <w:p>
            <w:pPr>
              <w:widowControl/>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环氧乙烷灭菌，一次性使用。</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w:t>
      </w:r>
      <w:r>
        <w:rPr>
          <w:rFonts w:hint="eastAsia" w:ascii="宋体" w:hAnsi="宋体" w:eastAsia="宋体" w:cs="仿宋"/>
          <w:sz w:val="24"/>
          <w:szCs w:val="24"/>
          <w:lang w:val="en-US" w:eastAsia="zh-CN"/>
        </w:rPr>
        <w:t>服务和商务</w:t>
      </w:r>
      <w:r>
        <w:rPr>
          <w:rFonts w:hint="eastAsia" w:ascii="宋体" w:hAnsi="宋体" w:eastAsia="宋体" w:cs="仿宋"/>
          <w:sz w:val="24"/>
          <w:szCs w:val="24"/>
        </w:rPr>
        <w:t>要求</w:t>
      </w:r>
    </w:p>
    <w:p>
      <w:pPr>
        <w:pStyle w:val="2"/>
      </w:pPr>
      <w:r>
        <w:rPr>
          <w:rFonts w:hint="eastAsia"/>
        </w:rPr>
        <w:t>▲1.</w:t>
      </w:r>
      <w:r>
        <w:rPr>
          <w:rFonts w:hint="eastAsia" w:asciiTheme="minorEastAsia" w:hAnsiTheme="minorEastAsia" w:eastAsiaTheme="minorEastAsia" w:cstheme="minorEastAsia"/>
          <w:sz w:val="21"/>
          <w:szCs w:val="21"/>
        </w:rPr>
        <w:t>供应商投标产品若为纳入国家医疗保障局《医保医用耗材分类与代码》目录且具有医疗器械注册证的在用医用耗材(不含一类医疗器械)和具有医疗器械注册证或备案凭证的在用体外诊断试剂，则必须为四川省药械集中采购及医药价格监管平台挂网公示产品,并提供挂网商品代码（</w:t>
      </w:r>
      <w:r>
        <w:rPr>
          <w:rFonts w:hint="eastAsia" w:asciiTheme="minorEastAsia" w:hAnsiTheme="minorEastAsia" w:eastAsiaTheme="minorEastAsia" w:cstheme="minorEastAsia"/>
          <w:b/>
          <w:bCs/>
          <w:sz w:val="21"/>
          <w:szCs w:val="21"/>
        </w:rPr>
        <w:t>已经挂网的需要提供集采平台挂网截图</w:t>
      </w:r>
      <w:r>
        <w:rPr>
          <w:rFonts w:hint="eastAsia" w:asciiTheme="minorEastAsia" w:hAnsiTheme="minorEastAsia" w:eastAsiaTheme="minorEastAsia" w:cstheme="minorEastAsia"/>
          <w:sz w:val="21"/>
          <w:szCs w:val="21"/>
        </w:rPr>
        <w:t>）</w:t>
      </w:r>
      <w:r>
        <w:rPr>
          <w:rFonts w:hint="eastAsia"/>
        </w:rPr>
        <w:t>。</w:t>
      </w:r>
    </w:p>
    <w:p>
      <w:pPr>
        <w:pStyle w:val="2"/>
      </w:pPr>
      <w:r>
        <w:rPr>
          <w:rFonts w:hint="eastAsia"/>
        </w:rPr>
        <w:t>▲2.供货期限：3年，采购数量以实际使用量为准。</w:t>
      </w:r>
    </w:p>
    <w:p>
      <w:pPr>
        <w:widowControl/>
        <w:shd w:val="clear"/>
        <w:spacing w:line="360" w:lineRule="auto"/>
        <w:jc w:val="left"/>
        <w:rPr>
          <w:rFonts w:hint="eastAsia"/>
        </w:rPr>
      </w:pPr>
      <w:r>
        <w:rPr>
          <w:rFonts w:hint="eastAsia"/>
        </w:rPr>
        <w:t>▲3.合同结算：本项目的“预估年度用量”、 供应商的“投标总价”仅做为报价评审依据，最终根据实际需求进行相应调整，结算以实际发生量乘以供应商挂网单价（未挂网按投标单价）结算。</w:t>
      </w:r>
    </w:p>
    <w:p>
      <w:pPr>
        <w:rPr>
          <w:rFonts w:hint="eastAsia"/>
        </w:rPr>
      </w:pPr>
      <w:r>
        <w:rPr>
          <w:rFonts w:hint="eastAsia"/>
        </w:rPr>
        <w:br w:type="page"/>
      </w: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348"/>
        <w:gridCol w:w="649"/>
        <w:gridCol w:w="3682"/>
        <w:gridCol w:w="3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39" w:type="dxa"/>
            <w:vAlign w:val="center"/>
          </w:tcPr>
          <w:p>
            <w:pPr>
              <w:widowControl/>
              <w:wordWrap w:val="0"/>
              <w:spacing w:line="240" w:lineRule="atLeast"/>
              <w:jc w:val="center"/>
              <w:rPr>
                <w:rFonts w:ascii="宋体" w:hAnsi="宋体" w:cs="Segoe UI"/>
                <w:b/>
                <w:color w:val="333333"/>
                <w:kern w:val="0"/>
                <w:sz w:val="18"/>
                <w:szCs w:val="18"/>
              </w:rPr>
            </w:pPr>
            <w:r>
              <w:rPr>
                <w:rFonts w:hint="eastAsia" w:asciiTheme="minorEastAsia" w:hAnsiTheme="minorEastAsia" w:eastAsiaTheme="minorEastAsia" w:cstheme="minorEastAsia"/>
                <w:b/>
                <w:color w:val="333333"/>
                <w:kern w:val="0"/>
                <w:sz w:val="21"/>
                <w:szCs w:val="21"/>
              </w:rPr>
              <w:t>序号</w:t>
            </w:r>
          </w:p>
        </w:tc>
        <w:tc>
          <w:tcPr>
            <w:tcW w:w="1348" w:type="dxa"/>
            <w:vAlign w:val="center"/>
          </w:tcPr>
          <w:p>
            <w:pPr>
              <w:widowControl/>
              <w:spacing w:line="240" w:lineRule="atLeast"/>
              <w:jc w:val="center"/>
              <w:rPr>
                <w:rFonts w:ascii="宋体" w:hAnsi="宋体" w:cs="Segoe UI"/>
                <w:b/>
                <w:color w:val="333333"/>
                <w:kern w:val="0"/>
                <w:sz w:val="18"/>
                <w:szCs w:val="18"/>
              </w:rPr>
            </w:pPr>
            <w:r>
              <w:rPr>
                <w:rFonts w:hint="eastAsia" w:asciiTheme="minorEastAsia" w:hAnsiTheme="minorEastAsia" w:eastAsiaTheme="minorEastAsia" w:cstheme="minorEastAsia"/>
                <w:b/>
                <w:color w:val="333333"/>
                <w:kern w:val="0"/>
                <w:sz w:val="21"/>
                <w:szCs w:val="21"/>
              </w:rPr>
              <w:t>评分因素</w:t>
            </w:r>
          </w:p>
        </w:tc>
        <w:tc>
          <w:tcPr>
            <w:tcW w:w="649" w:type="dxa"/>
            <w:vAlign w:val="center"/>
          </w:tcPr>
          <w:p>
            <w:pPr>
              <w:widowControl/>
              <w:wordWrap w:val="0"/>
              <w:spacing w:line="240" w:lineRule="atLeast"/>
              <w:jc w:val="center"/>
              <w:rPr>
                <w:rFonts w:ascii="宋体" w:hAnsi="宋体" w:cs="Segoe UI"/>
                <w:b/>
                <w:color w:val="333333"/>
                <w:kern w:val="0"/>
                <w:sz w:val="18"/>
                <w:szCs w:val="18"/>
              </w:rPr>
            </w:pPr>
            <w:r>
              <w:rPr>
                <w:rFonts w:hint="eastAsia" w:asciiTheme="minorEastAsia" w:hAnsiTheme="minorEastAsia" w:eastAsiaTheme="minorEastAsia" w:cstheme="minorEastAsia"/>
                <w:b/>
                <w:color w:val="333333"/>
                <w:kern w:val="0"/>
                <w:sz w:val="21"/>
                <w:szCs w:val="21"/>
              </w:rPr>
              <w:t>分值</w:t>
            </w:r>
          </w:p>
        </w:tc>
        <w:tc>
          <w:tcPr>
            <w:tcW w:w="3683" w:type="dxa"/>
            <w:vAlign w:val="center"/>
          </w:tcPr>
          <w:p>
            <w:pPr>
              <w:widowControl/>
              <w:wordWrap w:val="0"/>
              <w:spacing w:line="240" w:lineRule="atLeast"/>
              <w:jc w:val="center"/>
              <w:rPr>
                <w:rFonts w:ascii="宋体" w:hAnsi="宋体" w:cs="Segoe UI"/>
                <w:b/>
                <w:color w:val="333333"/>
                <w:kern w:val="0"/>
                <w:sz w:val="18"/>
                <w:szCs w:val="18"/>
              </w:rPr>
            </w:pPr>
            <w:r>
              <w:rPr>
                <w:rFonts w:hint="eastAsia" w:asciiTheme="minorEastAsia" w:hAnsiTheme="minorEastAsia" w:eastAsiaTheme="minorEastAsia" w:cstheme="minorEastAsia"/>
                <w:b/>
                <w:color w:val="333333"/>
                <w:kern w:val="0"/>
                <w:sz w:val="21"/>
                <w:szCs w:val="21"/>
              </w:rPr>
              <w:t>评分标准</w:t>
            </w:r>
          </w:p>
        </w:tc>
        <w:tc>
          <w:tcPr>
            <w:tcW w:w="3376" w:type="dxa"/>
            <w:vAlign w:val="center"/>
          </w:tcPr>
          <w:p>
            <w:pPr>
              <w:widowControl/>
              <w:wordWrap w:val="0"/>
              <w:spacing w:line="240" w:lineRule="atLeast"/>
              <w:jc w:val="center"/>
              <w:rPr>
                <w:rFonts w:ascii="宋体" w:hAnsi="宋体" w:cs="Segoe UI"/>
                <w:b/>
                <w:color w:val="333333"/>
                <w:kern w:val="0"/>
                <w:sz w:val="18"/>
                <w:szCs w:val="18"/>
              </w:rPr>
            </w:pPr>
            <w:r>
              <w:rPr>
                <w:rFonts w:hint="eastAsia" w:asciiTheme="minorEastAsia" w:hAnsiTheme="minorEastAsia" w:eastAsiaTheme="minorEastAsia" w:cstheme="minorEastAsia"/>
                <w:b/>
                <w:color w:val="333333"/>
                <w:kern w:val="0"/>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Theme="minorEastAsia" w:hAnsiTheme="minorEastAsia" w:eastAsiaTheme="minorEastAsia" w:cstheme="minorEastAsia"/>
                <w:color w:val="000000"/>
                <w:kern w:val="0"/>
                <w:sz w:val="21"/>
                <w:szCs w:val="21"/>
              </w:rPr>
              <w:t>1</w:t>
            </w:r>
          </w:p>
        </w:tc>
        <w:tc>
          <w:tcPr>
            <w:tcW w:w="1348" w:type="dxa"/>
            <w:vAlign w:val="center"/>
          </w:tcPr>
          <w:p>
            <w:pPr>
              <w:widowControl/>
              <w:wordWrap w:val="0"/>
              <w:spacing w:line="270" w:lineRule="atLeas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投标报价</w:t>
            </w:r>
          </w:p>
          <w:p>
            <w:pPr>
              <w:widowControl/>
              <w:wordWrap w:val="0"/>
              <w:spacing w:line="270" w:lineRule="atLeast"/>
              <w:jc w:val="center"/>
              <w:rPr>
                <w:rFonts w:ascii="宋体" w:hAnsi="宋体" w:cs="Segoe UI"/>
                <w:color w:val="333333"/>
                <w:kern w:val="0"/>
                <w:sz w:val="18"/>
                <w:szCs w:val="18"/>
              </w:rPr>
            </w:pPr>
            <w:r>
              <w:rPr>
                <w:rFonts w:hint="eastAsia" w:asciiTheme="minorEastAsia" w:hAnsiTheme="minorEastAsia" w:eastAsiaTheme="minorEastAsia" w:cstheme="minorEastAsia"/>
                <w:color w:val="000000"/>
                <w:kern w:val="0"/>
                <w:sz w:val="21"/>
                <w:szCs w:val="21"/>
              </w:rPr>
              <w:t>30%</w:t>
            </w:r>
          </w:p>
        </w:tc>
        <w:tc>
          <w:tcPr>
            <w:tcW w:w="649" w:type="dxa"/>
            <w:vAlign w:val="center"/>
          </w:tcPr>
          <w:p>
            <w:pPr>
              <w:widowControl/>
              <w:wordWrap w:val="0"/>
              <w:spacing w:line="270" w:lineRule="atLeast"/>
              <w:jc w:val="center"/>
              <w:rPr>
                <w:rFonts w:ascii="宋体" w:hAnsi="宋体" w:cs="Segoe UI"/>
                <w:color w:val="333333"/>
                <w:kern w:val="0"/>
                <w:sz w:val="18"/>
                <w:szCs w:val="18"/>
              </w:rPr>
            </w:pPr>
            <w:r>
              <w:rPr>
                <w:rFonts w:hint="eastAsia" w:asciiTheme="minorEastAsia" w:hAnsiTheme="minorEastAsia" w:eastAsiaTheme="minorEastAsia" w:cstheme="minorEastAsia"/>
                <w:color w:val="000000"/>
                <w:kern w:val="0"/>
                <w:sz w:val="21"/>
                <w:szCs w:val="21"/>
              </w:rPr>
              <w:t>30</w:t>
            </w:r>
          </w:p>
        </w:tc>
        <w:tc>
          <w:tcPr>
            <w:tcW w:w="3683" w:type="dxa"/>
            <w:vAlign w:val="center"/>
          </w:tcPr>
          <w:p>
            <w:pPr>
              <w:widowControl/>
              <w:wordWrap w:val="0"/>
              <w:spacing w:line="270" w:lineRule="atLeast"/>
              <w:jc w:val="both"/>
              <w:rPr>
                <w:rFonts w:ascii="宋体" w:hAnsi="宋体" w:cs="Segoe UI"/>
                <w:b/>
                <w:kern w:val="0"/>
                <w:sz w:val="18"/>
                <w:szCs w:val="18"/>
              </w:rPr>
            </w:pPr>
            <w:r>
              <w:rPr>
                <w:rFonts w:hint="eastAsia" w:asciiTheme="minorEastAsia" w:hAnsiTheme="minorEastAsia" w:eastAsiaTheme="minorEastAsia" w:cstheme="minorEastAsia"/>
                <w:kern w:val="0"/>
                <w:sz w:val="21"/>
                <w:szCs w:val="21"/>
              </w:rPr>
              <w:t>投标耗材（试剂）满足招标文件要求且以</w:t>
            </w:r>
            <w:r>
              <w:rPr>
                <w:rFonts w:hint="eastAsia" w:asciiTheme="minorEastAsia" w:hAnsiTheme="minorEastAsia" w:eastAsiaTheme="minorEastAsia" w:cstheme="minorEastAsia"/>
                <w:b/>
                <w:bCs/>
                <w:kern w:val="0"/>
                <w:sz w:val="21"/>
                <w:szCs w:val="21"/>
              </w:rPr>
              <w:t>投标</w:t>
            </w:r>
            <w:r>
              <w:rPr>
                <w:rFonts w:hint="eastAsia" w:asciiTheme="minorEastAsia" w:hAnsiTheme="minorEastAsia" w:eastAsiaTheme="minorEastAsia" w:cstheme="minorEastAsia"/>
                <w:b/>
                <w:kern w:val="0"/>
                <w:sz w:val="21"/>
                <w:szCs w:val="21"/>
              </w:rPr>
              <w:t>总价</w:t>
            </w:r>
            <w:r>
              <w:rPr>
                <w:rFonts w:hint="eastAsia" w:asciiTheme="minorEastAsia" w:hAnsiTheme="minorEastAsia" w:eastAsiaTheme="minorEastAsia" w:cstheme="minorEastAsia"/>
                <w:kern w:val="0"/>
                <w:sz w:val="21"/>
                <w:szCs w:val="21"/>
              </w:rPr>
              <w:t>最低的为</w:t>
            </w:r>
            <w:r>
              <w:rPr>
                <w:rFonts w:hint="eastAsia" w:asciiTheme="minorEastAsia" w:hAnsiTheme="minorEastAsia" w:eastAsiaTheme="minorEastAsia" w:cstheme="minorEastAsia"/>
                <w:b/>
                <w:kern w:val="0"/>
                <w:sz w:val="21"/>
                <w:szCs w:val="21"/>
              </w:rPr>
              <w:t>评标基准价</w:t>
            </w:r>
            <w:r>
              <w:rPr>
                <w:rFonts w:hint="eastAsia" w:asciiTheme="minorEastAsia" w:hAnsiTheme="minorEastAsia" w:eastAsiaTheme="minorEastAsia" w:cstheme="minorEastAsia"/>
                <w:kern w:val="0"/>
                <w:sz w:val="21"/>
                <w:szCs w:val="21"/>
              </w:rPr>
              <w:t>，其价格分为30分。其他投标人的价格分统一按照以下公式计算：价格分=(</w:t>
            </w:r>
            <w:r>
              <w:rPr>
                <w:rFonts w:hint="eastAsia" w:asciiTheme="minorEastAsia" w:hAnsiTheme="minorEastAsia" w:eastAsiaTheme="minorEastAsia" w:cstheme="minorEastAsia"/>
                <w:b/>
                <w:kern w:val="0"/>
                <w:sz w:val="21"/>
                <w:szCs w:val="21"/>
              </w:rPr>
              <w:t>评标基准价</w:t>
            </w:r>
            <w:r>
              <w:rPr>
                <w:rFonts w:hint="eastAsia" w:asciiTheme="minorEastAsia" w:hAnsiTheme="minorEastAsia" w:eastAsiaTheme="minorEastAsia" w:cstheme="minorEastAsia"/>
                <w:kern w:val="0"/>
                <w:sz w:val="21"/>
                <w:szCs w:val="21"/>
              </w:rPr>
              <w:t>／投标总价)×30</w:t>
            </w:r>
          </w:p>
        </w:tc>
        <w:tc>
          <w:tcPr>
            <w:tcW w:w="3376" w:type="dxa"/>
            <w:vAlign w:val="center"/>
          </w:tcPr>
          <w:p>
            <w:pPr>
              <w:widowControl/>
              <w:numPr>
                <w:ilvl w:val="0"/>
                <w:numId w:val="2"/>
              </w:numPr>
              <w:wordWrap w:val="0"/>
              <w:spacing w:line="270" w:lineRule="atLeast"/>
              <w:jc w:val="both"/>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b/>
                <w:kern w:val="0"/>
                <w:sz w:val="21"/>
                <w:szCs w:val="21"/>
              </w:rPr>
              <w:t>投标总价</w:t>
            </w:r>
            <w:r>
              <w:rPr>
                <w:rFonts w:hint="eastAsia" w:asciiTheme="minorEastAsia" w:hAnsiTheme="minorEastAsia" w:eastAsiaTheme="minorEastAsia" w:cstheme="minorEastAsia"/>
                <w:kern w:val="0"/>
                <w:sz w:val="21"/>
                <w:szCs w:val="21"/>
              </w:rPr>
              <w:t>=单价*预估年度用量之和;</w:t>
            </w:r>
          </w:p>
          <w:p>
            <w:pPr>
              <w:widowControl/>
              <w:numPr>
                <w:ilvl w:val="0"/>
                <w:numId w:val="2"/>
              </w:numPr>
              <w:wordWrap w:val="0"/>
              <w:spacing w:line="270" w:lineRule="atLeast"/>
              <w:jc w:val="both"/>
              <w:rPr>
                <w:rFonts w:ascii="宋体" w:hAnsi="宋体" w:cs="Segoe UI"/>
                <w:kern w:val="0"/>
                <w:sz w:val="18"/>
                <w:szCs w:val="18"/>
              </w:rPr>
            </w:pPr>
            <w:r>
              <w:rPr>
                <w:rFonts w:hint="eastAsia" w:asciiTheme="minorEastAsia" w:hAnsiTheme="minorEastAsia" w:eastAsiaTheme="minorEastAsia" w:cstheme="minorEastAsia"/>
                <w:kern w:val="0"/>
                <w:sz w:val="21"/>
                <w:szCs w:val="21"/>
              </w:rPr>
              <w:t>产品有细分规格且报价不同，则按照同品类平均价计算单价。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Theme="minorEastAsia" w:hAnsiTheme="minorEastAsia" w:eastAsiaTheme="minorEastAsia" w:cstheme="minorEastAsia"/>
                <w:color w:val="000000"/>
                <w:kern w:val="0"/>
                <w:sz w:val="21"/>
                <w:szCs w:val="21"/>
              </w:rPr>
              <w:t>2</w:t>
            </w:r>
          </w:p>
        </w:tc>
        <w:tc>
          <w:tcPr>
            <w:tcW w:w="1348" w:type="dxa"/>
            <w:vAlign w:val="center"/>
          </w:tcPr>
          <w:p>
            <w:pPr>
              <w:widowControl/>
              <w:wordWrap w:val="0"/>
              <w:spacing w:line="270" w:lineRule="atLeas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技术指标</w:t>
            </w:r>
          </w:p>
          <w:p>
            <w:pPr>
              <w:widowControl/>
              <w:wordWrap w:val="0"/>
              <w:spacing w:line="270" w:lineRule="atLeast"/>
              <w:jc w:val="center"/>
              <w:rPr>
                <w:rFonts w:ascii="宋体" w:hAnsi="宋体" w:cs="Segoe UI"/>
                <w:color w:val="333333"/>
                <w:kern w:val="0"/>
                <w:sz w:val="18"/>
                <w:szCs w:val="18"/>
              </w:rPr>
            </w:pPr>
            <w:r>
              <w:rPr>
                <w:rFonts w:hint="eastAsia" w:asciiTheme="minorEastAsia" w:hAnsiTheme="minorEastAsia" w:eastAsiaTheme="minorEastAsia" w:cstheme="minorEastAsia"/>
                <w:color w:val="000000"/>
                <w:kern w:val="0"/>
                <w:sz w:val="21"/>
                <w:szCs w:val="21"/>
              </w:rPr>
              <w:t>4</w:t>
            </w:r>
            <w:r>
              <w:rPr>
                <w:rFonts w:hint="eastAsia" w:asciiTheme="minorEastAsia" w:hAnsiTheme="minorEastAsia" w:eastAsiaTheme="minorEastAsia" w:cstheme="minorEastAsia"/>
                <w:color w:val="000000"/>
                <w:kern w:val="0"/>
                <w:sz w:val="21"/>
                <w:szCs w:val="21"/>
                <w:lang w:val="en-US" w:eastAsia="zh-CN"/>
              </w:rPr>
              <w:t>4</w:t>
            </w:r>
            <w:r>
              <w:rPr>
                <w:rFonts w:hint="eastAsia" w:asciiTheme="minorEastAsia" w:hAnsiTheme="minorEastAsia" w:eastAsiaTheme="minorEastAsia" w:cstheme="minorEastAsia"/>
                <w:color w:val="000000"/>
                <w:kern w:val="0"/>
                <w:sz w:val="21"/>
                <w:szCs w:val="21"/>
              </w:rPr>
              <w:t>%</w:t>
            </w:r>
          </w:p>
        </w:tc>
        <w:tc>
          <w:tcPr>
            <w:tcW w:w="649" w:type="dxa"/>
            <w:vAlign w:val="center"/>
          </w:tcPr>
          <w:p>
            <w:pPr>
              <w:widowControl/>
              <w:wordWrap w:val="0"/>
              <w:spacing w:line="270" w:lineRule="atLeast"/>
              <w:jc w:val="center"/>
              <w:rPr>
                <w:rFonts w:hint="default" w:ascii="宋体" w:hAnsi="宋体" w:eastAsia="宋体" w:cs="Segoe UI"/>
                <w:color w:val="333333"/>
                <w:kern w:val="0"/>
                <w:sz w:val="18"/>
                <w:szCs w:val="18"/>
                <w:lang w:val="en-US" w:eastAsia="zh-CN"/>
              </w:rPr>
            </w:pPr>
            <w:r>
              <w:rPr>
                <w:rFonts w:hint="eastAsia" w:asciiTheme="minorEastAsia" w:hAnsiTheme="minorEastAsia" w:eastAsiaTheme="minorEastAsia" w:cstheme="minorEastAsia"/>
                <w:color w:val="000000"/>
                <w:kern w:val="0"/>
                <w:sz w:val="21"/>
                <w:szCs w:val="21"/>
              </w:rPr>
              <w:t>4</w:t>
            </w:r>
            <w:r>
              <w:rPr>
                <w:rFonts w:hint="eastAsia" w:asciiTheme="minorEastAsia" w:hAnsiTheme="minorEastAsia" w:eastAsiaTheme="minorEastAsia" w:cstheme="minorEastAsia"/>
                <w:color w:val="000000"/>
                <w:kern w:val="0"/>
                <w:sz w:val="21"/>
                <w:szCs w:val="21"/>
                <w:lang w:val="en-US" w:eastAsia="zh-CN"/>
              </w:rPr>
              <w:t>4</w:t>
            </w:r>
          </w:p>
        </w:tc>
        <w:tc>
          <w:tcPr>
            <w:tcW w:w="3683" w:type="dxa"/>
            <w:vAlign w:val="center"/>
          </w:tcPr>
          <w:p>
            <w:pPr>
              <w:widowControl/>
              <w:wordWrap w:val="0"/>
              <w:spacing w:line="270" w:lineRule="atLeast"/>
              <w:jc w:val="both"/>
              <w:rPr>
                <w:rFonts w:ascii="宋体" w:hAnsi="宋体" w:cs="Segoe UI"/>
                <w:kern w:val="0"/>
                <w:sz w:val="18"/>
                <w:szCs w:val="18"/>
              </w:rPr>
            </w:pPr>
            <w:r>
              <w:rPr>
                <w:rFonts w:hint="eastAsia" w:asciiTheme="minorEastAsia" w:hAnsiTheme="minorEastAsia" w:eastAsiaTheme="minorEastAsia" w:cstheme="minorEastAsia"/>
                <w:kern w:val="0"/>
                <w:sz w:val="21"/>
                <w:szCs w:val="21"/>
              </w:rPr>
              <w:t>投标人提供的试剂耗材的技术参数完全符合招标文件要求，没有负偏离得</w:t>
            </w:r>
            <w:r>
              <w:rPr>
                <w:rFonts w:hint="eastAsia" w:asciiTheme="minorEastAsia" w:hAnsiTheme="minorEastAsia" w:eastAsiaTheme="minorEastAsia" w:cstheme="minorEastAsia"/>
                <w:kern w:val="0"/>
                <w:sz w:val="21"/>
                <w:szCs w:val="21"/>
                <w:lang w:val="en-US" w:eastAsia="zh-CN"/>
              </w:rPr>
              <w:t>44</w:t>
            </w:r>
            <w:r>
              <w:rPr>
                <w:rFonts w:hint="eastAsia" w:asciiTheme="minorEastAsia" w:hAnsiTheme="minorEastAsia" w:eastAsiaTheme="minorEastAsia" w:cstheme="minorEastAsia"/>
                <w:kern w:val="0"/>
                <w:sz w:val="21"/>
                <w:szCs w:val="21"/>
              </w:rPr>
              <w:t>分；“★”条款技术参数不满足招标文件要求（负偏离），一次扣</w:t>
            </w:r>
            <w:r>
              <w:rPr>
                <w:rFonts w:hint="eastAsia" w:asciiTheme="minorEastAsia" w:hAnsiTheme="minorEastAsia" w:eastAsiaTheme="minorEastAsia" w:cstheme="minorEastAsia"/>
                <w:kern w:val="0"/>
                <w:sz w:val="21"/>
                <w:szCs w:val="21"/>
                <w:lang w:val="en-US" w:eastAsia="zh-CN"/>
              </w:rPr>
              <w:t>8</w:t>
            </w:r>
            <w:r>
              <w:rPr>
                <w:rFonts w:hint="eastAsia" w:asciiTheme="minorEastAsia" w:hAnsiTheme="minorEastAsia" w:eastAsiaTheme="minorEastAsia" w:cstheme="minorEastAsia"/>
                <w:kern w:val="0"/>
                <w:sz w:val="21"/>
                <w:szCs w:val="21"/>
              </w:rPr>
              <w:t>分；非“★”条款技术参数不满足招标文件要求（负偏离），一次扣</w:t>
            </w:r>
            <w:r>
              <w:rPr>
                <w:rFonts w:hint="eastAsia" w:asciiTheme="minorEastAsia" w:hAnsiTheme="minorEastAsia" w:eastAsiaTheme="minorEastAsia" w:cstheme="minorEastAsia"/>
                <w:kern w:val="0"/>
                <w:sz w:val="21"/>
                <w:szCs w:val="21"/>
                <w:lang w:val="en-US" w:eastAsia="zh-CN"/>
              </w:rPr>
              <w:t>4</w:t>
            </w:r>
            <w:r>
              <w:rPr>
                <w:rFonts w:hint="eastAsia" w:asciiTheme="minorEastAsia" w:hAnsiTheme="minorEastAsia" w:eastAsiaTheme="minorEastAsia" w:cstheme="minorEastAsia"/>
                <w:kern w:val="0"/>
                <w:sz w:val="21"/>
                <w:szCs w:val="21"/>
              </w:rPr>
              <w:t>分；扣完为止。</w:t>
            </w:r>
          </w:p>
        </w:tc>
        <w:tc>
          <w:tcPr>
            <w:tcW w:w="3376" w:type="dxa"/>
            <w:vAlign w:val="center"/>
          </w:tcPr>
          <w:p>
            <w:pPr>
              <w:widowControl/>
              <w:wordWrap w:val="0"/>
              <w:spacing w:line="270" w:lineRule="atLeast"/>
              <w:jc w:val="both"/>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“★”条款技术参数供应商须提供技术支撑材料，并在技术响应表中备注技术支撑材料的页码位置，便于快速查阅验证：</w:t>
            </w:r>
          </w:p>
          <w:p>
            <w:pPr>
              <w:widowControl/>
              <w:wordWrap w:val="0"/>
              <w:spacing w:line="270" w:lineRule="atLeast"/>
              <w:jc w:val="both"/>
              <w:rPr>
                <w:rFonts w:ascii="宋体" w:hAnsi="宋体" w:cs="Segoe UI"/>
                <w:kern w:val="0"/>
                <w:sz w:val="18"/>
                <w:szCs w:val="18"/>
              </w:rPr>
            </w:pPr>
            <w:r>
              <w:rPr>
                <w:rFonts w:hint="eastAsia" w:asciiTheme="minorEastAsia" w:hAnsiTheme="minorEastAsia" w:eastAsiaTheme="minorEastAsia" w:cstheme="minorEastAsia"/>
                <w:kern w:val="0"/>
                <w:sz w:val="21"/>
                <w:szCs w:val="21"/>
              </w:rPr>
              <w:t>1.国家相关主管部门出具的的技术支持材料，如说明书、注册证、检测报告等；2.技术支持材料，须加盖响应产品制造厂家的印章，或加盖响应产品生产厂家驻中国境内合法直属机构印章，或响应产品生产厂商直接授权的代理商的印章；3.如果没有按照以上要求提供技术支持资料的，该条技术参数在评审中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39" w:type="dxa"/>
            <w:vAlign w:val="center"/>
          </w:tcPr>
          <w:p>
            <w:pPr>
              <w:widowControl/>
              <w:wordWrap w:val="0"/>
              <w:spacing w:line="270" w:lineRule="atLeast"/>
              <w:jc w:val="center"/>
              <w:rPr>
                <w:rFonts w:ascii="宋体" w:hAnsi="宋体" w:cs="Segoe UI"/>
                <w:color w:val="000000"/>
                <w:kern w:val="0"/>
                <w:sz w:val="18"/>
                <w:szCs w:val="18"/>
              </w:rPr>
            </w:pPr>
            <w:r>
              <w:rPr>
                <w:rFonts w:hint="eastAsia" w:asciiTheme="minorEastAsia" w:hAnsiTheme="minorEastAsia" w:eastAsiaTheme="minorEastAsia" w:cstheme="minorEastAsia"/>
                <w:color w:val="000000"/>
                <w:kern w:val="0"/>
                <w:sz w:val="21"/>
                <w:szCs w:val="21"/>
              </w:rPr>
              <w:t>3</w:t>
            </w:r>
          </w:p>
        </w:tc>
        <w:tc>
          <w:tcPr>
            <w:tcW w:w="1348" w:type="dxa"/>
            <w:vAlign w:val="center"/>
          </w:tcPr>
          <w:p>
            <w:pPr>
              <w:widowControl/>
              <w:wordWrap w:val="0"/>
              <w:spacing w:line="270" w:lineRule="atLeas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样品评分</w:t>
            </w:r>
          </w:p>
          <w:p>
            <w:pPr>
              <w:widowControl/>
              <w:wordWrap w:val="0"/>
              <w:spacing w:line="270" w:lineRule="atLeast"/>
              <w:jc w:val="center"/>
              <w:rPr>
                <w:rFonts w:ascii="宋体" w:hAnsi="宋体" w:cs="Segoe UI"/>
                <w:color w:val="000000"/>
                <w:kern w:val="0"/>
                <w:sz w:val="18"/>
                <w:szCs w:val="18"/>
              </w:rPr>
            </w:pPr>
            <w:r>
              <w:rPr>
                <w:rFonts w:hint="eastAsia" w:asciiTheme="minorEastAsia" w:hAnsiTheme="minorEastAsia" w:eastAsiaTheme="minorEastAsia" w:cstheme="minorEastAsia"/>
                <w:color w:val="000000"/>
                <w:kern w:val="0"/>
                <w:sz w:val="21"/>
                <w:szCs w:val="21"/>
              </w:rPr>
              <w:t>10%</w:t>
            </w:r>
          </w:p>
        </w:tc>
        <w:tc>
          <w:tcPr>
            <w:tcW w:w="649" w:type="dxa"/>
            <w:vAlign w:val="center"/>
          </w:tcPr>
          <w:p>
            <w:pPr>
              <w:widowControl/>
              <w:wordWrap w:val="0"/>
              <w:spacing w:line="270" w:lineRule="atLeast"/>
              <w:jc w:val="center"/>
              <w:rPr>
                <w:rFonts w:hint="eastAsia" w:ascii="宋体" w:hAnsi="宋体" w:eastAsia="宋体" w:cs="Segoe UI"/>
                <w:color w:val="000000"/>
                <w:kern w:val="0"/>
                <w:sz w:val="18"/>
                <w:szCs w:val="18"/>
                <w:lang w:eastAsia="zh-CN"/>
              </w:rPr>
            </w:pPr>
            <w:r>
              <w:rPr>
                <w:rFonts w:hint="eastAsia" w:asciiTheme="minorEastAsia" w:hAnsiTheme="minorEastAsia" w:eastAsiaTheme="minorEastAsia" w:cstheme="minorEastAsia"/>
                <w:color w:val="000000"/>
                <w:kern w:val="0"/>
                <w:sz w:val="21"/>
                <w:szCs w:val="21"/>
              </w:rPr>
              <w:t>10</w:t>
            </w:r>
          </w:p>
        </w:tc>
        <w:tc>
          <w:tcPr>
            <w:tcW w:w="3683" w:type="dxa"/>
            <w:vAlign w:val="center"/>
          </w:tcPr>
          <w:p>
            <w:pPr>
              <w:wordWrap w:val="0"/>
              <w:spacing w:line="270" w:lineRule="atLeast"/>
              <w:jc w:val="both"/>
              <w:rPr>
                <w:rFonts w:ascii="宋体" w:hAnsi="宋体" w:cs="宋体"/>
                <w:kern w:val="0"/>
                <w:sz w:val="18"/>
                <w:szCs w:val="18"/>
              </w:rPr>
            </w:pPr>
            <w:r>
              <w:rPr>
                <w:rFonts w:hint="eastAsia" w:asciiTheme="minorEastAsia" w:hAnsiTheme="minorEastAsia" w:eastAsiaTheme="minorEastAsia" w:cstheme="minorEastAsia"/>
                <w:kern w:val="0"/>
                <w:sz w:val="21"/>
                <w:szCs w:val="21"/>
              </w:rPr>
              <w:t>根据响应产品样品及产品说明书，从样品的外观、材质、性能3个方面进行评价，每有1个方面不符合临床需求的扣4分，扣完为止。未提供或提供不全本项不得分。</w:t>
            </w:r>
          </w:p>
        </w:tc>
        <w:tc>
          <w:tcPr>
            <w:tcW w:w="3376" w:type="dxa"/>
            <w:vAlign w:val="center"/>
          </w:tcPr>
          <w:p>
            <w:pPr>
              <w:wordWrap w:val="0"/>
              <w:spacing w:line="270" w:lineRule="atLeast"/>
              <w:jc w:val="both"/>
              <w:rPr>
                <w:rFonts w:ascii="宋体" w:hAnsi="宋体" w:cs="宋体"/>
                <w:kern w:val="0"/>
                <w:sz w:val="18"/>
                <w:szCs w:val="18"/>
              </w:rPr>
            </w:pPr>
            <w:r>
              <w:rPr>
                <w:rFonts w:hint="eastAsia" w:asciiTheme="minorEastAsia" w:hAnsiTheme="minorEastAsia" w:eastAsiaTheme="minorEastAsia" w:cstheme="minorEastAsia"/>
                <w:kern w:val="0"/>
                <w:sz w:val="21"/>
                <w:szCs w:val="21"/>
              </w:rPr>
              <w:t>要求提供的样品</w:t>
            </w:r>
            <w:r>
              <w:rPr>
                <w:rFonts w:hint="eastAsia" w:asciiTheme="minorEastAsia" w:hAnsiTheme="minorEastAsia" w:eastAsiaTheme="minorEastAsia" w:cstheme="minorEastAsia"/>
                <w:b/>
                <w:bCs/>
                <w:kern w:val="0"/>
                <w:sz w:val="21"/>
                <w:szCs w:val="21"/>
              </w:rPr>
              <w:t>将品牌LOGO等信息遮住</w:t>
            </w:r>
            <w:r>
              <w:rPr>
                <w:rFonts w:hint="eastAsia" w:asciiTheme="minorEastAsia" w:hAnsiTheme="minorEastAsia" w:eastAsiaTheme="minorEastAsia" w:cstheme="minorEastAsia"/>
                <w:kern w:val="0"/>
                <w:sz w:val="21"/>
                <w:szCs w:val="21"/>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Theme="minorEastAsia" w:hAnsiTheme="minorEastAsia" w:eastAsiaTheme="minorEastAsia" w:cstheme="minorEastAsia"/>
                <w:color w:val="000000"/>
                <w:kern w:val="0"/>
                <w:sz w:val="21"/>
                <w:szCs w:val="21"/>
              </w:rPr>
              <w:t>4</w:t>
            </w:r>
          </w:p>
        </w:tc>
        <w:tc>
          <w:tcPr>
            <w:tcW w:w="1348" w:type="dxa"/>
            <w:vAlign w:val="center"/>
          </w:tcPr>
          <w:p>
            <w:pPr>
              <w:widowControl/>
              <w:wordWrap w:val="0"/>
              <w:spacing w:line="270" w:lineRule="atLeas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供应商能力</w:t>
            </w:r>
          </w:p>
          <w:p>
            <w:pPr>
              <w:widowControl/>
              <w:wordWrap w:val="0"/>
              <w:spacing w:line="270" w:lineRule="atLeast"/>
              <w:jc w:val="center"/>
              <w:rPr>
                <w:rFonts w:ascii="宋体" w:hAnsi="宋体" w:cs="Segoe UI"/>
                <w:color w:val="000000"/>
                <w:kern w:val="0"/>
                <w:sz w:val="18"/>
                <w:szCs w:val="18"/>
              </w:rPr>
            </w:pPr>
            <w:r>
              <w:rPr>
                <w:rFonts w:hint="eastAsia" w:asciiTheme="minorEastAsia" w:hAnsiTheme="minorEastAsia" w:eastAsiaTheme="minorEastAsia" w:cstheme="minorEastAsia"/>
                <w:color w:val="000000"/>
                <w:kern w:val="0"/>
                <w:sz w:val="21"/>
                <w:szCs w:val="21"/>
              </w:rPr>
              <w:t>10%</w:t>
            </w:r>
          </w:p>
        </w:tc>
        <w:tc>
          <w:tcPr>
            <w:tcW w:w="649" w:type="dxa"/>
            <w:vAlign w:val="center"/>
          </w:tcPr>
          <w:p>
            <w:pPr>
              <w:widowControl/>
              <w:wordWrap w:val="0"/>
              <w:spacing w:line="270" w:lineRule="atLeast"/>
              <w:jc w:val="center"/>
              <w:rPr>
                <w:rFonts w:hint="eastAsia" w:ascii="宋体" w:hAnsi="宋体" w:eastAsia="宋体" w:cs="Segoe UI"/>
                <w:color w:val="333333"/>
                <w:kern w:val="0"/>
                <w:sz w:val="18"/>
                <w:szCs w:val="18"/>
                <w:lang w:eastAsia="zh-CN"/>
              </w:rPr>
            </w:pPr>
            <w:r>
              <w:rPr>
                <w:rFonts w:hint="eastAsia" w:asciiTheme="minorEastAsia" w:hAnsiTheme="minorEastAsia" w:eastAsiaTheme="minorEastAsia" w:cstheme="minorEastAsia"/>
                <w:color w:val="333333"/>
                <w:kern w:val="0"/>
                <w:sz w:val="21"/>
                <w:szCs w:val="21"/>
              </w:rPr>
              <w:t>10</w:t>
            </w:r>
          </w:p>
        </w:tc>
        <w:tc>
          <w:tcPr>
            <w:tcW w:w="3683" w:type="dxa"/>
            <w:vAlign w:val="center"/>
          </w:tcPr>
          <w:p>
            <w:pPr>
              <w:widowControl/>
              <w:wordWrap w:val="0"/>
              <w:spacing w:line="270" w:lineRule="atLeast"/>
              <w:jc w:val="both"/>
              <w:rPr>
                <w:rFonts w:ascii="宋体" w:hAnsi="宋体" w:cs="宋体"/>
                <w:color w:val="333333"/>
                <w:kern w:val="0"/>
                <w:sz w:val="18"/>
                <w:szCs w:val="18"/>
              </w:rPr>
            </w:pPr>
            <w:r>
              <w:rPr>
                <w:rFonts w:hint="eastAsia" w:asciiTheme="minorEastAsia" w:hAnsiTheme="minorEastAsia" w:eastAsiaTheme="minorEastAsia" w:cstheme="minorEastAsia"/>
                <w:color w:val="000000"/>
                <w:kern w:val="0"/>
                <w:sz w:val="21"/>
                <w:szCs w:val="21"/>
              </w:rPr>
              <w:t>需提供</w:t>
            </w:r>
            <w:r>
              <w:rPr>
                <w:rFonts w:hint="eastAsia" w:asciiTheme="minorEastAsia" w:hAnsiTheme="minorEastAsia" w:eastAsiaTheme="minorEastAsia" w:cstheme="minorEastAsia"/>
                <w:b/>
                <w:bCs/>
                <w:color w:val="000000"/>
                <w:kern w:val="0"/>
                <w:sz w:val="21"/>
                <w:szCs w:val="21"/>
              </w:rPr>
              <w:t>投标人</w:t>
            </w:r>
            <w:r>
              <w:rPr>
                <w:rFonts w:hint="eastAsia" w:asciiTheme="minorEastAsia" w:hAnsiTheme="minorEastAsia" w:eastAsiaTheme="minorEastAsia" w:cstheme="minorEastAsia"/>
                <w:color w:val="000000"/>
                <w:kern w:val="0"/>
                <w:sz w:val="21"/>
                <w:szCs w:val="21"/>
              </w:rPr>
              <w:t>2021年以来在国内三甲医疗机构销售</w:t>
            </w:r>
            <w:r>
              <w:rPr>
                <w:rFonts w:hint="eastAsia" w:asciiTheme="minorEastAsia" w:hAnsiTheme="minorEastAsia" w:eastAsiaTheme="minorEastAsia" w:cstheme="minorEastAsia"/>
                <w:b/>
                <w:bCs/>
                <w:color w:val="000000"/>
                <w:kern w:val="0"/>
                <w:sz w:val="21"/>
                <w:szCs w:val="21"/>
              </w:rPr>
              <w:t>响应产品</w:t>
            </w:r>
            <w:r>
              <w:rPr>
                <w:rFonts w:hint="eastAsia" w:asciiTheme="minorEastAsia" w:hAnsiTheme="minorEastAsia" w:eastAsiaTheme="minorEastAsia" w:cstheme="minorEastAsia"/>
                <w:color w:val="000000"/>
                <w:kern w:val="0"/>
                <w:sz w:val="21"/>
                <w:szCs w:val="21"/>
              </w:rPr>
              <w:t>的业绩证明，每提供1家三甲医疗机构得2分，最多10分。</w:t>
            </w:r>
          </w:p>
        </w:tc>
        <w:tc>
          <w:tcPr>
            <w:tcW w:w="3376" w:type="dxa"/>
            <w:vAlign w:val="center"/>
          </w:tcPr>
          <w:p>
            <w:pPr>
              <w:widowControl/>
              <w:wordWrap w:val="0"/>
              <w:spacing w:line="270" w:lineRule="atLeast"/>
              <w:jc w:val="both"/>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需提供以下证明资料如下：</w:t>
            </w:r>
          </w:p>
          <w:p>
            <w:pPr>
              <w:widowControl/>
              <w:wordWrap w:val="0"/>
              <w:spacing w:line="270" w:lineRule="atLeast"/>
              <w:jc w:val="both"/>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1.合同复印件（说明：合同无产品明细需提供发票复印件，若发票复印件上也无产品明细则需附销货清单）。</w:t>
            </w:r>
          </w:p>
          <w:p>
            <w:pPr>
              <w:widowControl/>
              <w:wordWrap w:val="0"/>
              <w:spacing w:line="270" w:lineRule="atLeast"/>
              <w:jc w:val="both"/>
              <w:rPr>
                <w:rFonts w:ascii="宋体" w:hAnsi="宋体" w:cs="Segoe UI"/>
                <w:color w:val="000000"/>
                <w:kern w:val="0"/>
                <w:sz w:val="18"/>
                <w:szCs w:val="18"/>
              </w:rPr>
            </w:pPr>
            <w:r>
              <w:rPr>
                <w:rFonts w:hint="eastAsia" w:asciiTheme="minorEastAsia" w:hAnsiTheme="minorEastAsia" w:eastAsiaTheme="minorEastAsia" w:cstheme="minorEastAsia"/>
                <w:kern w:val="0"/>
                <w:sz w:val="21"/>
                <w:szCs w:val="21"/>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639" w:type="dxa"/>
            <w:vAlign w:val="center"/>
          </w:tcPr>
          <w:p>
            <w:pPr>
              <w:widowControl/>
              <w:wordWrap w:val="0"/>
              <w:spacing w:line="270" w:lineRule="atLeast"/>
              <w:jc w:val="center"/>
              <w:rPr>
                <w:rFonts w:ascii="宋体" w:hAnsi="宋体" w:cs="Segoe UI"/>
                <w:color w:val="000000"/>
                <w:kern w:val="0"/>
                <w:sz w:val="18"/>
                <w:szCs w:val="18"/>
              </w:rPr>
            </w:pPr>
            <w:r>
              <w:rPr>
                <w:rFonts w:hint="eastAsia" w:asciiTheme="minorEastAsia" w:hAnsiTheme="minorEastAsia" w:eastAsiaTheme="minorEastAsia" w:cstheme="minorEastAsia"/>
                <w:color w:val="000000"/>
                <w:kern w:val="0"/>
                <w:sz w:val="21"/>
                <w:szCs w:val="21"/>
              </w:rPr>
              <w:t>5</w:t>
            </w:r>
          </w:p>
        </w:tc>
        <w:tc>
          <w:tcPr>
            <w:tcW w:w="1348" w:type="dxa"/>
            <w:vAlign w:val="center"/>
          </w:tcPr>
          <w:p>
            <w:pPr>
              <w:widowControl/>
              <w:wordWrap w:val="0"/>
              <w:spacing w:line="270" w:lineRule="atLeas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售后服务</w:t>
            </w:r>
          </w:p>
          <w:p>
            <w:pPr>
              <w:widowControl/>
              <w:wordWrap w:val="0"/>
              <w:spacing w:line="270" w:lineRule="atLeast"/>
              <w:jc w:val="center"/>
              <w:rPr>
                <w:rFonts w:ascii="宋体" w:hAnsi="宋体" w:cs="Segoe UI"/>
                <w:color w:val="000000"/>
                <w:kern w:val="0"/>
                <w:sz w:val="18"/>
                <w:szCs w:val="18"/>
              </w:rPr>
            </w:pPr>
            <w:r>
              <w:rPr>
                <w:rFonts w:hint="eastAsia" w:asciiTheme="minorEastAsia" w:hAnsiTheme="minorEastAsia" w:eastAsiaTheme="minorEastAsia" w:cstheme="minorEastAsia"/>
                <w:color w:val="000000"/>
                <w:kern w:val="0"/>
                <w:sz w:val="21"/>
                <w:szCs w:val="21"/>
                <w:lang w:val="en-US" w:eastAsia="zh-CN"/>
              </w:rPr>
              <w:t>6</w:t>
            </w:r>
            <w:r>
              <w:rPr>
                <w:rFonts w:hint="eastAsia" w:asciiTheme="minorEastAsia" w:hAnsiTheme="minorEastAsia" w:eastAsiaTheme="minorEastAsia" w:cstheme="minorEastAsia"/>
                <w:color w:val="000000"/>
                <w:kern w:val="0"/>
                <w:sz w:val="21"/>
                <w:szCs w:val="21"/>
              </w:rPr>
              <w:t>%</w:t>
            </w:r>
          </w:p>
        </w:tc>
        <w:tc>
          <w:tcPr>
            <w:tcW w:w="649" w:type="dxa"/>
            <w:vAlign w:val="center"/>
          </w:tcPr>
          <w:p>
            <w:pPr>
              <w:widowControl/>
              <w:spacing w:line="320" w:lineRule="atLeast"/>
              <w:ind w:left="-105" w:leftChars="0" w:right="-107" w:rightChars="0"/>
              <w:jc w:val="center"/>
              <w:rPr>
                <w:rFonts w:ascii="宋体" w:hAnsi="宋体" w:cs="Segoe UI"/>
                <w:color w:val="333333"/>
                <w:kern w:val="0"/>
                <w:sz w:val="18"/>
                <w:szCs w:val="18"/>
              </w:rPr>
            </w:pPr>
            <w:r>
              <w:rPr>
                <w:rFonts w:hint="eastAsia" w:asciiTheme="minorEastAsia" w:hAnsiTheme="minorEastAsia" w:eastAsiaTheme="minorEastAsia" w:cstheme="minorEastAsia"/>
                <w:color w:val="333333"/>
                <w:kern w:val="0"/>
                <w:sz w:val="21"/>
                <w:szCs w:val="21"/>
                <w:lang w:val="en-US" w:eastAsia="zh-CN"/>
              </w:rPr>
              <w:t>6</w:t>
            </w:r>
          </w:p>
        </w:tc>
        <w:tc>
          <w:tcPr>
            <w:tcW w:w="3683" w:type="dxa"/>
            <w:vAlign w:val="center"/>
          </w:tcPr>
          <w:p>
            <w:pPr>
              <w:wordWrap w:val="0"/>
              <w:jc w:val="both"/>
              <w:rPr>
                <w:rFonts w:ascii="宋体" w:hAnsi="宋体" w:cs="Segoe UI"/>
                <w:color w:val="000000"/>
                <w:kern w:val="0"/>
                <w:sz w:val="18"/>
                <w:szCs w:val="18"/>
              </w:rPr>
            </w:pPr>
            <w:r>
              <w:rPr>
                <w:rFonts w:hint="eastAsia" w:asciiTheme="minorEastAsia" w:hAnsiTheme="minorEastAsia" w:eastAsiaTheme="minorEastAsia" w:cstheme="minorEastAsia"/>
                <w:kern w:val="0"/>
                <w:sz w:val="21"/>
                <w:szCs w:val="21"/>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Theme="minorEastAsia" w:hAnsiTheme="minorEastAsia" w:eastAsiaTheme="minorEastAsia" w:cstheme="minorEastAsia"/>
                <w:kern w:val="0"/>
                <w:sz w:val="21"/>
                <w:szCs w:val="21"/>
                <w:lang w:val="en-US" w:eastAsia="zh-CN" w:bidi="ar"/>
              </w:rPr>
              <w:t>6</w:t>
            </w:r>
            <w:r>
              <w:rPr>
                <w:rFonts w:hint="eastAsia" w:asciiTheme="minorEastAsia" w:hAnsiTheme="minorEastAsia" w:eastAsiaTheme="minorEastAsia" w:cstheme="minorEastAsia"/>
                <w:kern w:val="0"/>
                <w:sz w:val="21"/>
                <w:szCs w:val="21"/>
                <w:lang w:bidi="ar"/>
              </w:rPr>
              <w:t>分。每缺少一项或提供的方案与本项目无关的扣</w:t>
            </w:r>
            <w:r>
              <w:rPr>
                <w:rFonts w:hint="eastAsia" w:asciiTheme="minorEastAsia" w:hAnsiTheme="minorEastAsia" w:eastAsiaTheme="minorEastAsia" w:cstheme="minorEastAsia"/>
                <w:kern w:val="0"/>
                <w:sz w:val="21"/>
                <w:szCs w:val="21"/>
                <w:lang w:val="en-US" w:eastAsia="zh-CN" w:bidi="ar"/>
              </w:rPr>
              <w:t>2</w:t>
            </w:r>
            <w:r>
              <w:rPr>
                <w:rFonts w:hint="eastAsia" w:asciiTheme="minorEastAsia" w:hAnsiTheme="minorEastAsia" w:eastAsiaTheme="minorEastAsia" w:cstheme="minorEastAsia"/>
                <w:kern w:val="0"/>
                <w:sz w:val="21"/>
                <w:szCs w:val="21"/>
                <w:lang w:bidi="ar"/>
              </w:rPr>
              <w:t>分；每有一项存在缺陷或漏洞的，且不利于项目实施的扣1分，分值扣完为止。</w:t>
            </w:r>
          </w:p>
        </w:tc>
        <w:tc>
          <w:tcPr>
            <w:tcW w:w="3376" w:type="dxa"/>
            <w:vAlign w:val="center"/>
          </w:tcPr>
          <w:p>
            <w:pPr>
              <w:wordWrap w:val="0"/>
              <w:jc w:val="both"/>
              <w:rPr>
                <w:rFonts w:ascii="宋体" w:hAnsi="宋体" w:cs="Segoe UI"/>
                <w:color w:val="000000"/>
                <w:kern w:val="0"/>
                <w:sz w:val="18"/>
                <w:szCs w:val="18"/>
              </w:rPr>
            </w:pPr>
          </w:p>
        </w:tc>
      </w:tr>
    </w:tbl>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25、无围标、串标行为承诺书（格式见附件6）；</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26、供应商遵守招标采购纪律承诺书（格式件附件7）；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21163"/>
      <w:bookmarkStart w:id="3" w:name="_Toc3414"/>
      <w:bookmarkStart w:id="4" w:name="_Toc21676"/>
      <w:bookmarkStart w:id="5" w:name="_Toc9234"/>
      <w:bookmarkStart w:id="6" w:name="_Toc1561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30494"/>
      <w:bookmarkStart w:id="8" w:name="_Toc10689"/>
      <w:bookmarkStart w:id="9" w:name="_Toc30275"/>
      <w:bookmarkStart w:id="10" w:name="_Toc60"/>
      <w:bookmarkStart w:id="11" w:name="_Toc5499"/>
      <w:bookmarkStart w:id="12" w:name="_Toc5208"/>
      <w:bookmarkStart w:id="13" w:name="_Toc14802"/>
      <w:bookmarkStart w:id="14" w:name="_Toc12490"/>
      <w:bookmarkStart w:id="15" w:name="_Toc11076"/>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13021"/>
      <w:bookmarkStart w:id="17" w:name="_Toc3912"/>
      <w:bookmarkStart w:id="18" w:name="_Toc9131"/>
      <w:bookmarkStart w:id="19" w:name="_Toc10948"/>
      <w:bookmarkStart w:id="20" w:name="_Toc28103"/>
      <w:bookmarkStart w:id="21" w:name="_Toc3081"/>
      <w:bookmarkStart w:id="22" w:name="_Toc7067"/>
      <w:bookmarkStart w:id="23" w:name="_Toc30724"/>
      <w:bookmarkStart w:id="24" w:name="_Toc32214"/>
      <w:bookmarkStart w:id="25" w:name="_Toc10183"/>
      <w:bookmarkStart w:id="26" w:name="_Toc26481"/>
      <w:bookmarkStart w:id="27" w:name="_Toc3392"/>
      <w:bookmarkStart w:id="28" w:name="_Toc18513"/>
      <w:bookmarkStart w:id="29" w:name="_Toc30080"/>
      <w:bookmarkStart w:id="30" w:name="_Toc18879"/>
      <w:bookmarkStart w:id="31" w:name="_Toc3447"/>
      <w:bookmarkStart w:id="32" w:name="_Toc8717"/>
      <w:bookmarkStart w:id="33" w:name="_Toc19115"/>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5196"/>
      <w:bookmarkStart w:id="35" w:name="_Toc9042"/>
      <w:bookmarkStart w:id="36" w:name="_Toc10142"/>
      <w:bookmarkStart w:id="37" w:name="_Toc22795"/>
      <w:bookmarkStart w:id="38" w:name="_Toc23645"/>
      <w:bookmarkStart w:id="39" w:name="_Toc18259"/>
      <w:bookmarkStart w:id="40" w:name="_Toc30920"/>
      <w:bookmarkStart w:id="41" w:name="_Toc30649"/>
      <w:bookmarkStart w:id="42" w:name="_Toc7249"/>
      <w:bookmarkStart w:id="43" w:name="_Toc23557"/>
      <w:bookmarkStart w:id="44" w:name="_Toc14004"/>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0083"/>
      <w:bookmarkStart w:id="46" w:name="_Toc4775"/>
      <w:bookmarkStart w:id="47" w:name="_Toc21988"/>
      <w:bookmarkStart w:id="48" w:name="_Toc25516"/>
      <w:bookmarkStart w:id="49" w:name="_Toc3534"/>
      <w:bookmarkStart w:id="50" w:name="_Toc3004"/>
      <w:bookmarkStart w:id="51" w:name="_Toc19600"/>
      <w:bookmarkStart w:id="52" w:name="_Toc26548"/>
      <w:bookmarkStart w:id="53" w:name="_Toc24117"/>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14887"/>
      <w:bookmarkStart w:id="55" w:name="_Toc691"/>
      <w:bookmarkStart w:id="56" w:name="_Toc3494"/>
      <w:bookmarkStart w:id="57" w:name="_Toc16666"/>
      <w:bookmarkStart w:id="58" w:name="_Toc23192"/>
      <w:bookmarkStart w:id="59" w:name="_Toc21982"/>
      <w:bookmarkStart w:id="60" w:name="_Toc12333"/>
      <w:bookmarkStart w:id="61" w:name="_Toc27376"/>
      <w:bookmarkStart w:id="62" w:name="_Toc16764"/>
      <w:bookmarkStart w:id="63" w:name="_Toc22198"/>
      <w:bookmarkStart w:id="64" w:name="_Toc32166"/>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1371"/>
      <w:bookmarkStart w:id="66" w:name="_Toc11914"/>
      <w:bookmarkStart w:id="67" w:name="_Toc4577"/>
      <w:bookmarkStart w:id="68" w:name="_Toc5412"/>
      <w:bookmarkStart w:id="69" w:name="_Toc14269"/>
      <w:bookmarkStart w:id="70" w:name="_Toc9263"/>
      <w:bookmarkStart w:id="71" w:name="_Toc25068"/>
      <w:bookmarkStart w:id="72" w:name="_Toc31581"/>
      <w:bookmarkStart w:id="73" w:name="_Toc22606"/>
      <w:bookmarkStart w:id="74" w:name="_Toc10013"/>
      <w:bookmarkStart w:id="75" w:name="_Toc3943"/>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2937"/>
      <w:bookmarkStart w:id="77" w:name="_Toc17108"/>
      <w:bookmarkStart w:id="78" w:name="_Toc2316"/>
      <w:bookmarkStart w:id="79" w:name="_Toc10600"/>
      <w:bookmarkStart w:id="80" w:name="_Toc13267"/>
      <w:bookmarkStart w:id="81" w:name="_Toc31890"/>
      <w:bookmarkStart w:id="82" w:name="_Toc11489"/>
      <w:bookmarkStart w:id="83" w:name="_Toc3908"/>
      <w:bookmarkStart w:id="84" w:name="_Toc13677"/>
      <w:bookmarkStart w:id="85" w:name="_Toc29190"/>
      <w:bookmarkStart w:id="86" w:name="_Toc18935"/>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26756"/>
      <w:bookmarkStart w:id="88" w:name="_Toc21351"/>
      <w:bookmarkStart w:id="89" w:name="_Toc1313"/>
      <w:bookmarkStart w:id="90" w:name="_Toc24122"/>
      <w:bookmarkStart w:id="91" w:name="_Toc31638"/>
      <w:bookmarkStart w:id="92" w:name="_Toc15916"/>
      <w:bookmarkStart w:id="93" w:name="_Toc14252"/>
      <w:bookmarkStart w:id="94" w:name="_Toc12088"/>
      <w:bookmarkStart w:id="95" w:name="_Toc32365"/>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7948"/>
      <w:bookmarkStart w:id="98" w:name="_Toc22760"/>
      <w:bookmarkStart w:id="99" w:name="_Toc29215"/>
      <w:bookmarkStart w:id="100" w:name="_Toc23212"/>
      <w:bookmarkStart w:id="101" w:name="_Toc9398"/>
      <w:bookmarkStart w:id="102" w:name="_Toc11278"/>
      <w:bookmarkStart w:id="103" w:name="_Toc15083"/>
      <w:bookmarkStart w:id="104" w:name="_Toc15894"/>
      <w:bookmarkStart w:id="105" w:name="_Toc18046"/>
      <w:bookmarkStart w:id="106" w:name="_Toc19589"/>
      <w:bookmarkStart w:id="107" w:name="_Toc10583"/>
      <w:bookmarkStart w:id="108" w:name="_Toc26609"/>
      <w:bookmarkStart w:id="109" w:name="_Toc27985"/>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8940"/>
      <w:bookmarkStart w:id="111" w:name="_Toc17204"/>
      <w:bookmarkStart w:id="112" w:name="_Toc8348"/>
      <w:bookmarkStart w:id="113" w:name="_Toc29648"/>
      <w:bookmarkStart w:id="114" w:name="_Toc14546"/>
      <w:bookmarkStart w:id="115" w:name="_Toc27767"/>
      <w:bookmarkStart w:id="116" w:name="_Toc757"/>
      <w:bookmarkStart w:id="117" w:name="_Toc24671"/>
      <w:bookmarkStart w:id="118" w:name="_Toc8083"/>
      <w:bookmarkStart w:id="119" w:name="_Toc4116"/>
      <w:bookmarkStart w:id="120" w:name="_Toc24655"/>
      <w:bookmarkStart w:id="121" w:name="_Toc24107"/>
      <w:bookmarkStart w:id="122" w:name="_Toc17741"/>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14781"/>
      <w:bookmarkStart w:id="124" w:name="_Toc8524"/>
      <w:bookmarkStart w:id="125" w:name="_Toc24280"/>
      <w:bookmarkStart w:id="126" w:name="_Toc12682"/>
      <w:bookmarkStart w:id="127" w:name="_Toc20745"/>
      <w:bookmarkStart w:id="128" w:name="_Toc22243"/>
      <w:bookmarkStart w:id="129" w:name="_Toc5840"/>
      <w:bookmarkStart w:id="130" w:name="_Toc2003"/>
      <w:bookmarkStart w:id="131" w:name="_Toc15917"/>
      <w:bookmarkStart w:id="132" w:name="_Toc10950"/>
      <w:bookmarkStart w:id="133" w:name="_Toc10308"/>
      <w:bookmarkStart w:id="134" w:name="_Toc10945"/>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1663"/>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14168" w:type="dxa"/>
            <w:gridSpan w:val="11"/>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1" w:firstLineChars="1000"/>
        <w:jc w:val="left"/>
        <w:rPr>
          <w:rFonts w:hint="eastAsia" w:ascii="仿宋_GB2312" w:hAnsi="仿宋_GB2312" w:eastAsia="仿宋_GB2312" w:cs="仿宋_GB2312"/>
          <w:b/>
          <w:bCs/>
          <w:sz w:val="28"/>
          <w:szCs w:val="28"/>
        </w:rPr>
      </w:pPr>
    </w:p>
    <w:p>
      <w:pPr>
        <w:pStyle w:val="2"/>
        <w:ind w:firstLine="2811"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rPr>
          <w:rFonts w:hint="default"/>
          <w:lang w:val="en-US" w:eastAsia="zh-CN"/>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abstractNum w:abstractNumId="1">
    <w:nsid w:val="47847685"/>
    <w:multiLevelType w:val="singleLevel"/>
    <w:tmpl w:val="4784768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53A5330"/>
    <w:rsid w:val="07953CAB"/>
    <w:rsid w:val="07B925A7"/>
    <w:rsid w:val="0A99264E"/>
    <w:rsid w:val="0BF815CE"/>
    <w:rsid w:val="0DBB7E7D"/>
    <w:rsid w:val="0E911C5D"/>
    <w:rsid w:val="10954EC2"/>
    <w:rsid w:val="12A81059"/>
    <w:rsid w:val="13485B4A"/>
    <w:rsid w:val="14456F80"/>
    <w:rsid w:val="195D2073"/>
    <w:rsid w:val="1A37043E"/>
    <w:rsid w:val="1C462F83"/>
    <w:rsid w:val="228C2840"/>
    <w:rsid w:val="2306229A"/>
    <w:rsid w:val="26D9225C"/>
    <w:rsid w:val="272816FC"/>
    <w:rsid w:val="28203DA9"/>
    <w:rsid w:val="2E811DD5"/>
    <w:rsid w:val="357C4381"/>
    <w:rsid w:val="364F4E7F"/>
    <w:rsid w:val="365344A5"/>
    <w:rsid w:val="38BB478A"/>
    <w:rsid w:val="396510AC"/>
    <w:rsid w:val="3BA27AC6"/>
    <w:rsid w:val="3ED3727D"/>
    <w:rsid w:val="405F3E1B"/>
    <w:rsid w:val="41EE0E8D"/>
    <w:rsid w:val="453F45B9"/>
    <w:rsid w:val="4669398D"/>
    <w:rsid w:val="48983A5D"/>
    <w:rsid w:val="4AE36A9A"/>
    <w:rsid w:val="4B7A520A"/>
    <w:rsid w:val="4C5E41EC"/>
    <w:rsid w:val="4EE10A0C"/>
    <w:rsid w:val="51CB3FD0"/>
    <w:rsid w:val="53914C7E"/>
    <w:rsid w:val="5536063D"/>
    <w:rsid w:val="55F211D3"/>
    <w:rsid w:val="56183BA8"/>
    <w:rsid w:val="577B25E6"/>
    <w:rsid w:val="5C452678"/>
    <w:rsid w:val="5D2D064D"/>
    <w:rsid w:val="5DC03791"/>
    <w:rsid w:val="5FEC0FA4"/>
    <w:rsid w:val="60795DD8"/>
    <w:rsid w:val="61DB5EE7"/>
    <w:rsid w:val="62FA0171"/>
    <w:rsid w:val="637366D0"/>
    <w:rsid w:val="63E72E68"/>
    <w:rsid w:val="64ED5044"/>
    <w:rsid w:val="65C660EF"/>
    <w:rsid w:val="65DA011F"/>
    <w:rsid w:val="66D20681"/>
    <w:rsid w:val="672843F4"/>
    <w:rsid w:val="68D05D81"/>
    <w:rsid w:val="6A052BEC"/>
    <w:rsid w:val="6A1B1B87"/>
    <w:rsid w:val="6A38583D"/>
    <w:rsid w:val="6C0F1984"/>
    <w:rsid w:val="6CF82393"/>
    <w:rsid w:val="701306BF"/>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2</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2024-07-18T08:25:04Z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