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Theme="minorEastAsia" w:hAnsiTheme="minorEastAsia" w:eastAsiaTheme="minorEastAsia" w:cstheme="minorEastAsia"/>
          <w:sz w:val="21"/>
          <w:szCs w:val="21"/>
        </w:rPr>
        <w:t>★</w:t>
      </w:r>
      <w:r>
        <w:rPr>
          <w:rFonts w:hint="eastAsia" w:ascii="宋体" w:hAnsi="宋体" w:eastAsia="宋体" w:cs="仿宋"/>
          <w:bCs w:val="0"/>
          <w:sz w:val="24"/>
          <w:szCs w:val="24"/>
        </w:rPr>
        <w:t>”符号的条款为本项目的重要参数条款，未标识符号的条款为一般参数条款。</w:t>
      </w:r>
    </w:p>
    <w:p>
      <w:pPr>
        <w:pStyle w:val="3"/>
        <w:numPr>
          <w:ilvl w:val="0"/>
          <w:numId w:val="1"/>
        </w:numPr>
        <w:shd w:val="clear"/>
        <w:spacing w:after="0" w:line="360" w:lineRule="auto"/>
        <w:ind w:firstLine="236"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采购项目编号：SCFY-YXZB202407-007（磋）</w:t>
      </w:r>
    </w:p>
    <w:p>
      <w:pPr>
        <w:pStyle w:val="3"/>
        <w:numPr>
          <w:ilvl w:val="0"/>
          <w:numId w:val="1"/>
        </w:numPr>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b/>
          <w:bCs/>
          <w:kern w:val="0"/>
          <w:sz w:val="24"/>
          <w:szCs w:val="24"/>
          <w:lang w:val="en-US" w:eastAsia="zh-CN" w:bidi="ar-SA"/>
        </w:rPr>
        <w:t>年度采购预算：15万元/年</w:t>
      </w:r>
    </w:p>
    <w:p>
      <w:pPr>
        <w:pStyle w:val="3"/>
        <w:numPr>
          <w:ilvl w:val="0"/>
          <w:numId w:val="1"/>
        </w:numPr>
        <w:shd w:val="clear"/>
        <w:spacing w:after="0" w:line="360" w:lineRule="auto"/>
        <w:ind w:left="0" w:leftChars="0" w:firstLine="236" w:firstLineChars="98"/>
        <w:rPr>
          <w:rFonts w:hint="eastAsia" w:ascii="宋体" w:hAnsi="宋体" w:eastAsia="宋体" w:cs="仿宋"/>
          <w:sz w:val="24"/>
          <w:szCs w:val="24"/>
        </w:rPr>
      </w:pPr>
      <w:r>
        <w:rPr>
          <w:rFonts w:hint="eastAsia" w:ascii="宋体" w:hAnsi="宋体" w:eastAsia="宋体" w:cs="仿宋"/>
          <w:sz w:val="24"/>
          <w:szCs w:val="24"/>
        </w:rPr>
        <w:t>项目清单及技术要求：</w:t>
      </w:r>
    </w:p>
    <w:bookmarkEnd w:id="0"/>
    <w:tbl>
      <w:tblPr>
        <w:tblStyle w:val="12"/>
        <w:tblpPr w:leftFromText="180" w:rightFromText="180" w:vertAnchor="text" w:horzAnchor="page" w:tblpXSpec="center" w:tblpY="456"/>
        <w:tblOverlap w:val="never"/>
        <w:tblW w:w="53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040"/>
        <w:gridCol w:w="1120"/>
        <w:gridCol w:w="1076"/>
        <w:gridCol w:w="6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2" w:type="pct"/>
            <w:vAlign w:val="center"/>
          </w:tcPr>
          <w:p>
            <w:pPr>
              <w:autoSpaceDE w:val="0"/>
              <w:autoSpaceDN w:val="0"/>
              <w:jc w:val="left"/>
              <w:rPr>
                <w:rFonts w:hint="eastAsia" w:asciiTheme="minorEastAsia" w:hAnsiTheme="minorEastAsia" w:eastAsiaTheme="minorEastAsia" w:cstheme="minorEastAsia"/>
                <w:b/>
                <w:sz w:val="21"/>
                <w:szCs w:val="21"/>
              </w:rPr>
            </w:pPr>
            <w:bookmarkStart w:id="1" w:name="_Toc217446095"/>
            <w:r>
              <w:rPr>
                <w:rFonts w:hint="eastAsia" w:asciiTheme="minorEastAsia" w:hAnsiTheme="minorEastAsia" w:eastAsiaTheme="minorEastAsia" w:cstheme="minorEastAsia"/>
                <w:b/>
                <w:sz w:val="21"/>
                <w:szCs w:val="21"/>
              </w:rPr>
              <w:t>序号</w:t>
            </w:r>
          </w:p>
        </w:tc>
        <w:tc>
          <w:tcPr>
            <w:tcW w:w="485"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产品名称</w:t>
            </w:r>
          </w:p>
        </w:tc>
        <w:tc>
          <w:tcPr>
            <w:tcW w:w="522"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预算单价（元）</w:t>
            </w:r>
          </w:p>
        </w:tc>
        <w:tc>
          <w:tcPr>
            <w:tcW w:w="501"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预估年度</w:t>
            </w:r>
          </w:p>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用量</w:t>
            </w:r>
          </w:p>
        </w:tc>
        <w:tc>
          <w:tcPr>
            <w:tcW w:w="3227"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2" w:type="pct"/>
            <w:vAlign w:val="center"/>
          </w:tcPr>
          <w:p>
            <w:pPr>
              <w:autoSpaceDE w:val="0"/>
              <w:autoSpaceDN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lang w:val="en-US" w:eastAsia="zh-CN"/>
              </w:rPr>
              <w:t>细胞培养瓶</w:t>
            </w:r>
          </w:p>
        </w:tc>
        <w:tc>
          <w:tcPr>
            <w:tcW w:w="1120" w:type="dxa"/>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宋体" w:hAnsi="宋体" w:cs="宋体"/>
                <w:color w:val="000000"/>
                <w:kern w:val="2"/>
                <w:sz w:val="21"/>
                <w:szCs w:val="21"/>
                <w:lang w:val="en-US" w:eastAsia="zh-CN" w:bidi="ar-SA"/>
              </w:rPr>
              <w:t>10</w:t>
            </w:r>
          </w:p>
        </w:tc>
        <w:tc>
          <w:tcPr>
            <w:tcW w:w="1076" w:type="dxa"/>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宋体" w:hAnsi="宋体" w:cs="宋体"/>
                <w:color w:val="000000"/>
                <w:kern w:val="2"/>
                <w:sz w:val="21"/>
                <w:szCs w:val="21"/>
                <w:lang w:val="en-US" w:eastAsia="zh-CN" w:bidi="ar-SA"/>
              </w:rPr>
              <w:t>15000个</w:t>
            </w:r>
          </w:p>
        </w:tc>
        <w:tc>
          <w:tcPr>
            <w:tcW w:w="6918" w:type="dxa"/>
            <w:vAlign w:val="top"/>
          </w:tcPr>
          <w:p>
            <w:pPr>
              <w:rPr>
                <w:rFonts w:hint="eastAsia"/>
                <w:lang w:val="en-US" w:eastAsia="zh-CN"/>
              </w:rPr>
            </w:pPr>
            <w:r>
              <w:rPr>
                <w:rFonts w:hint="eastAsia"/>
              </w:rPr>
              <w:t>▲</w:t>
            </w:r>
            <w:r>
              <w:rPr>
                <w:rFonts w:hint="eastAsia"/>
                <w:lang w:val="en-US" w:eastAsia="zh-CN"/>
              </w:rPr>
              <w:t>用途：用于羊水、绒毛等细胞的体外培养。</w:t>
            </w:r>
          </w:p>
          <w:p>
            <w:pPr>
              <w:rPr>
                <w:rFonts w:hint="default"/>
                <w:lang w:val="en-US" w:eastAsia="zh-CN"/>
              </w:rPr>
            </w:pPr>
            <w:r>
              <w:rPr>
                <w:rFonts w:hint="eastAsia"/>
                <w:lang w:val="en-US" w:eastAsia="zh-CN"/>
              </w:rPr>
              <w:t>1. 25cm²的生长面积，斜颈培养瓶。</w:t>
            </w:r>
          </w:p>
          <w:p>
            <w:pPr>
              <w:rPr>
                <w:rFonts w:hint="eastAsia"/>
                <w:lang w:val="en-US" w:eastAsia="zh-CN"/>
              </w:rPr>
            </w:pPr>
            <w:r>
              <w:rPr>
                <w:rFonts w:hint="eastAsia"/>
                <w:lang w:val="en-US" w:eastAsia="zh-CN"/>
              </w:rPr>
              <w:t>*2. 采用光学透明的原生聚苯乙烯制造。</w:t>
            </w:r>
          </w:p>
          <w:p>
            <w:pPr>
              <w:rPr>
                <w:rFonts w:hint="default"/>
                <w:lang w:val="en-US" w:eastAsia="zh-CN"/>
              </w:rPr>
            </w:pPr>
            <w:r>
              <w:rPr>
                <w:rFonts w:hint="eastAsia"/>
                <w:lang w:val="en-US" w:eastAsia="zh-CN"/>
              </w:rPr>
              <w:t>3. 经过处理，可达到最佳的细胞粘附性能，利于细胞贴壁生长。</w:t>
            </w:r>
          </w:p>
          <w:p>
            <w:pPr>
              <w:rPr>
                <w:rFonts w:hint="default"/>
                <w:lang w:val="en-US" w:eastAsia="zh-CN"/>
              </w:rPr>
            </w:pPr>
            <w:r>
              <w:rPr>
                <w:rFonts w:hint="eastAsia"/>
                <w:lang w:val="en-US" w:eastAsia="zh-CN"/>
              </w:rPr>
              <w:t>*4. 瓶盖为透气盖，盖体上封有0.2微米孔径的不可湿膜，提供稳定的无菌气体交换。</w:t>
            </w:r>
          </w:p>
          <w:p>
            <w:pPr>
              <w:rPr>
                <w:rFonts w:hint="default"/>
                <w:lang w:val="en-US" w:eastAsia="zh-CN"/>
              </w:rPr>
            </w:pPr>
            <w:r>
              <w:rPr>
                <w:rFonts w:hint="eastAsia"/>
                <w:lang w:val="en-US" w:eastAsia="zh-CN"/>
              </w:rPr>
              <w:t>*5. 经 γ 射线辐射灭菌并通过无热原认证。</w:t>
            </w:r>
          </w:p>
          <w:p>
            <w:pPr>
              <w:rPr>
                <w:rFonts w:hint="eastAsia" w:asciiTheme="minorEastAsia" w:hAnsiTheme="minorEastAsia" w:eastAsiaTheme="minorEastAsia" w:cstheme="minorEastAsia"/>
                <w:sz w:val="21"/>
                <w:szCs w:val="21"/>
              </w:rPr>
            </w:pPr>
            <w:r>
              <w:rPr>
                <w:rFonts w:hint="eastAsia"/>
                <w:lang w:val="en-US" w:eastAsia="zh-CN"/>
              </w:rPr>
              <w:t>6. 瓶与瓶之间卡扣工艺较好，能保证10个瓶子叠加不易散落，且叠加后的瓶体柱不倾斜。</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w:t>
      </w:r>
      <w:r>
        <w:rPr>
          <w:rFonts w:hint="eastAsia" w:ascii="宋体" w:hAnsi="宋体" w:eastAsia="宋体" w:cs="仿宋"/>
          <w:sz w:val="24"/>
          <w:szCs w:val="24"/>
          <w:lang w:val="en-US" w:eastAsia="zh-CN"/>
        </w:rPr>
        <w:t>服务和商务</w:t>
      </w:r>
      <w:r>
        <w:rPr>
          <w:rFonts w:hint="eastAsia" w:ascii="宋体" w:hAnsi="宋体" w:eastAsia="宋体" w:cs="仿宋"/>
          <w:sz w:val="24"/>
          <w:szCs w:val="24"/>
        </w:rPr>
        <w:t>要求</w:t>
      </w:r>
    </w:p>
    <w:p>
      <w:pPr>
        <w:pStyle w:val="2"/>
      </w:pPr>
      <w:r>
        <w:rPr>
          <w:rFonts w:hint="eastAsia"/>
        </w:rPr>
        <w:t>▲1.</w:t>
      </w:r>
      <w:r>
        <w:rPr>
          <w:rFonts w:hint="eastAsia" w:asciiTheme="minorEastAsia" w:hAnsiTheme="minorEastAsia" w:eastAsiaTheme="minorEastAsia" w:cstheme="minorEastAsia"/>
          <w:sz w:val="21"/>
          <w:szCs w:val="21"/>
        </w:rPr>
        <w:t>供应商投标产品若为纳入国家医疗保障局《医保医用耗材分类与代码》目录且具有医疗器械注册证的在用医用耗材(不含一类医疗器械)和具有医疗器械注册证或备案凭证的在用体外诊断试剂，则必须为四川省药械集中采购及医药价格监管平台挂网公示产品,并提供挂网商品代码（</w:t>
      </w:r>
      <w:r>
        <w:rPr>
          <w:rFonts w:hint="eastAsia" w:asciiTheme="minorEastAsia" w:hAnsiTheme="minorEastAsia" w:eastAsiaTheme="minorEastAsia" w:cstheme="minorEastAsia"/>
          <w:b/>
          <w:bCs/>
          <w:sz w:val="21"/>
          <w:szCs w:val="21"/>
        </w:rPr>
        <w:t>已经挂网的需要提供集采平台挂网截图</w:t>
      </w:r>
      <w:r>
        <w:rPr>
          <w:rFonts w:hint="eastAsia" w:asciiTheme="minorEastAsia" w:hAnsiTheme="minorEastAsia" w:eastAsiaTheme="minorEastAsia" w:cstheme="minorEastAsia"/>
          <w:sz w:val="21"/>
          <w:szCs w:val="21"/>
        </w:rPr>
        <w:t>）</w:t>
      </w:r>
      <w:r>
        <w:rPr>
          <w:rFonts w:hint="eastAsia"/>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rPr>
          <w:rFonts w:hint="eastAsia"/>
        </w:rPr>
      </w:pPr>
      <w:r>
        <w:rPr>
          <w:rFonts w:hint="eastAsia"/>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48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649"/>
        <w:gridCol w:w="3681"/>
        <w:gridCol w:w="3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39"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序号</w:t>
            </w:r>
          </w:p>
        </w:tc>
        <w:tc>
          <w:tcPr>
            <w:tcW w:w="1348" w:type="dxa"/>
            <w:vAlign w:val="center"/>
          </w:tcPr>
          <w:p>
            <w:pPr>
              <w:widowControl/>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评分因素</w:t>
            </w:r>
          </w:p>
        </w:tc>
        <w:tc>
          <w:tcPr>
            <w:tcW w:w="649"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分值</w:t>
            </w:r>
          </w:p>
        </w:tc>
        <w:tc>
          <w:tcPr>
            <w:tcW w:w="3682"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评分标准</w:t>
            </w:r>
          </w:p>
        </w:tc>
        <w:tc>
          <w:tcPr>
            <w:tcW w:w="3375"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1</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64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30</w:t>
            </w:r>
          </w:p>
        </w:tc>
        <w:tc>
          <w:tcPr>
            <w:tcW w:w="3682" w:type="dxa"/>
            <w:vAlign w:val="center"/>
          </w:tcPr>
          <w:p>
            <w:pPr>
              <w:widowControl/>
              <w:wordWrap w:val="0"/>
              <w:spacing w:line="270" w:lineRule="atLeast"/>
              <w:jc w:val="left"/>
              <w:rPr>
                <w:rFonts w:ascii="宋体" w:hAnsi="宋体" w:cs="Segoe UI"/>
                <w:b/>
                <w:kern w:val="0"/>
                <w:sz w:val="18"/>
                <w:szCs w:val="18"/>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3375" w:type="dxa"/>
            <w:vAlign w:val="center"/>
          </w:tcPr>
          <w:p>
            <w:pPr>
              <w:widowControl/>
              <w:numPr>
                <w:ilvl w:val="0"/>
                <w:numId w:val="2"/>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2"/>
              </w:numPr>
              <w:wordWrap w:val="0"/>
              <w:spacing w:line="270" w:lineRule="atLeast"/>
              <w:jc w:val="left"/>
              <w:rPr>
                <w:rFonts w:ascii="宋体" w:hAnsi="宋体" w:cs="Segoe UI"/>
                <w:kern w:val="0"/>
                <w:sz w:val="18"/>
                <w:szCs w:val="18"/>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2</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51</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宋体" w:hAnsi="宋体" w:cs="Segoe UI"/>
                <w:color w:val="000000"/>
                <w:kern w:val="0"/>
                <w:sz w:val="18"/>
                <w:szCs w:val="18"/>
                <w:lang w:val="en-US" w:eastAsia="zh-CN"/>
              </w:rPr>
              <w:t>51</w:t>
            </w:r>
          </w:p>
        </w:tc>
        <w:tc>
          <w:tcPr>
            <w:tcW w:w="3682" w:type="dxa"/>
            <w:vAlign w:val="center"/>
          </w:tcPr>
          <w:p>
            <w:pPr>
              <w:widowControl/>
              <w:wordWrap w:val="0"/>
              <w:spacing w:line="270" w:lineRule="atLeast"/>
              <w:jc w:val="left"/>
              <w:rPr>
                <w:rFonts w:ascii="宋体" w:hAnsi="宋体" w:cs="Segoe UI"/>
                <w:kern w:val="0"/>
                <w:sz w:val="18"/>
                <w:szCs w:val="18"/>
              </w:rPr>
            </w:pPr>
            <w:r>
              <w:rPr>
                <w:rFonts w:hint="eastAsia" w:ascii="宋体" w:hAnsi="宋体" w:cs="宋体"/>
                <w:kern w:val="0"/>
                <w:sz w:val="18"/>
                <w:szCs w:val="18"/>
              </w:rPr>
              <w:t>投标人提供的试剂耗材的技术参数完全符合招标文件要求，没有负偏离得满分</w:t>
            </w:r>
            <w:r>
              <w:rPr>
                <w:rFonts w:hint="eastAsia" w:ascii="宋体" w:hAnsi="宋体" w:cs="宋体"/>
                <w:kern w:val="0"/>
                <w:sz w:val="18"/>
                <w:szCs w:val="18"/>
                <w:lang w:val="en-US" w:eastAsia="zh-CN"/>
              </w:rPr>
              <w:t>51分</w:t>
            </w:r>
            <w:r>
              <w:rPr>
                <w:rFonts w:hint="eastAsia" w:ascii="宋体" w:hAnsi="宋体" w:cs="宋体"/>
                <w:kern w:val="0"/>
                <w:sz w:val="18"/>
                <w:szCs w:val="18"/>
              </w:rPr>
              <w:t>；</w:t>
            </w:r>
            <w:r>
              <w:rPr>
                <w:rFonts w:hint="eastAsia" w:ascii="宋体" w:hAnsi="宋体" w:cs="宋体"/>
                <w:color w:val="auto"/>
                <w:kern w:val="0"/>
                <w:sz w:val="18"/>
                <w:szCs w:val="18"/>
              </w:rPr>
              <w:t>“*”条款技术参数不满足招标文件要求（负偏离），</w:t>
            </w:r>
            <w:r>
              <w:rPr>
                <w:rFonts w:hint="eastAsia" w:ascii="宋体" w:hAnsi="宋体" w:cs="宋体"/>
                <w:kern w:val="0"/>
                <w:sz w:val="18"/>
                <w:szCs w:val="18"/>
              </w:rPr>
              <w:t>一次扣</w:t>
            </w:r>
            <w:r>
              <w:rPr>
                <w:rFonts w:hint="eastAsia" w:ascii="宋体" w:hAnsi="宋体" w:cs="宋体"/>
                <w:kern w:val="0"/>
                <w:sz w:val="18"/>
                <w:szCs w:val="18"/>
                <w:lang w:val="en-US" w:eastAsia="zh-CN"/>
              </w:rPr>
              <w:t>11</w:t>
            </w:r>
            <w:r>
              <w:rPr>
                <w:rFonts w:hint="eastAsia" w:ascii="宋体" w:hAnsi="宋体" w:cs="宋体"/>
                <w:kern w:val="0"/>
                <w:sz w:val="18"/>
                <w:szCs w:val="18"/>
              </w:rPr>
              <w:t>分；非“*”条款技术参数不满足招标文件要求（负偏离），一次扣</w:t>
            </w:r>
            <w:r>
              <w:rPr>
                <w:rFonts w:hint="eastAsia" w:ascii="宋体" w:hAnsi="宋体" w:cs="宋体"/>
                <w:kern w:val="0"/>
                <w:sz w:val="18"/>
                <w:szCs w:val="18"/>
                <w:lang w:val="en-US" w:eastAsia="zh-CN"/>
              </w:rPr>
              <w:t>6</w:t>
            </w:r>
            <w:r>
              <w:rPr>
                <w:rFonts w:hint="eastAsia" w:ascii="宋体" w:hAnsi="宋体" w:cs="宋体"/>
                <w:kern w:val="0"/>
                <w:sz w:val="18"/>
                <w:szCs w:val="18"/>
              </w:rPr>
              <w:t>分；扣完为止。</w:t>
            </w:r>
          </w:p>
        </w:tc>
        <w:tc>
          <w:tcPr>
            <w:tcW w:w="3375" w:type="dxa"/>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3</w:t>
            </w:r>
          </w:p>
        </w:tc>
        <w:tc>
          <w:tcPr>
            <w:tcW w:w="1348" w:type="dxa"/>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eastAsia" w:ascii="宋体" w:hAnsi="宋体" w:eastAsia="宋体" w:cs="Segoe UI"/>
                <w:color w:val="000000"/>
                <w:kern w:val="0"/>
                <w:sz w:val="18"/>
                <w:szCs w:val="18"/>
                <w:lang w:eastAsia="zh-CN"/>
              </w:rPr>
            </w:pPr>
            <w:r>
              <w:rPr>
                <w:rFonts w:hint="eastAsia" w:ascii="宋体" w:hAnsi="宋体" w:cs="Segoe UI"/>
                <w:color w:val="333333"/>
                <w:kern w:val="0"/>
                <w:sz w:val="18"/>
                <w:szCs w:val="18"/>
                <w:lang w:val="en-US" w:eastAsia="zh-CN"/>
              </w:rPr>
              <w:t>10</w:t>
            </w:r>
          </w:p>
        </w:tc>
        <w:tc>
          <w:tcPr>
            <w:tcW w:w="3682" w:type="dxa"/>
            <w:vAlign w:val="center"/>
          </w:tcPr>
          <w:p>
            <w:pPr>
              <w:widowControl/>
              <w:wordWrap w:val="0"/>
              <w:spacing w:line="270" w:lineRule="atLeast"/>
              <w:jc w:val="left"/>
              <w:rPr>
                <w:rFonts w:ascii="宋体" w:hAnsi="宋体" w:cs="宋体"/>
                <w:kern w:val="0"/>
                <w:sz w:val="18"/>
                <w:szCs w:val="18"/>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3375" w:type="dxa"/>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ascii="宋体" w:hAnsi="宋体" w:cs="宋体"/>
                <w:kern w:val="0"/>
                <w:sz w:val="18"/>
                <w:szCs w:val="18"/>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4</w:t>
            </w:r>
          </w:p>
        </w:tc>
        <w:tc>
          <w:tcPr>
            <w:tcW w:w="1348" w:type="dxa"/>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649" w:type="dxa"/>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eastAsia="zh-CN"/>
              </w:rPr>
            </w:pPr>
            <w:r>
              <w:rPr>
                <w:rFonts w:hint="eastAsia" w:ascii="宋体" w:hAnsi="宋体" w:cs="Segoe UI"/>
                <w:color w:val="333333"/>
                <w:kern w:val="0"/>
                <w:sz w:val="18"/>
                <w:szCs w:val="18"/>
                <w:lang w:val="en-US" w:eastAsia="zh-CN"/>
              </w:rPr>
              <w:t>9</w:t>
            </w:r>
          </w:p>
        </w:tc>
        <w:tc>
          <w:tcPr>
            <w:tcW w:w="3682" w:type="dxa"/>
            <w:vAlign w:val="center"/>
          </w:tcPr>
          <w:p>
            <w:pPr>
              <w:wordWrap w:val="0"/>
              <w:jc w:val="left"/>
              <w:rPr>
                <w:rFonts w:ascii="宋体" w:hAnsi="宋体" w:cs="宋体"/>
                <w:color w:val="333333"/>
                <w:kern w:val="0"/>
                <w:sz w:val="18"/>
                <w:szCs w:val="18"/>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3375" w:type="dxa"/>
            <w:vAlign w:val="center"/>
          </w:tcPr>
          <w:p>
            <w:pPr>
              <w:wordWrap w:val="0"/>
              <w:jc w:val="left"/>
              <w:rPr>
                <w:rFonts w:ascii="宋体" w:hAnsi="宋体" w:cs="Segoe UI"/>
                <w:color w:val="000000"/>
                <w:kern w:val="0"/>
                <w:sz w:val="18"/>
                <w:szCs w:val="18"/>
              </w:rPr>
            </w:pPr>
          </w:p>
        </w:tc>
      </w:tr>
    </w:tbl>
    <w:p>
      <w:pPr>
        <w:shd w:val="clear"/>
      </w:pPr>
      <w:bookmarkStart w:id="135" w:name="_GoBack"/>
      <w:bookmarkEnd w:id="135"/>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15614"/>
      <w:bookmarkStart w:id="3" w:name="_Toc21676"/>
      <w:bookmarkStart w:id="4" w:name="_Toc3414"/>
      <w:bookmarkStart w:id="5" w:name="_Toc21163"/>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208"/>
      <w:bookmarkStart w:id="8" w:name="_Toc12490"/>
      <w:bookmarkStart w:id="9" w:name="_Toc11076"/>
      <w:bookmarkStart w:id="10" w:name="_Toc14802"/>
      <w:bookmarkStart w:id="11" w:name="_Toc10689"/>
      <w:bookmarkStart w:id="12" w:name="_Toc5499"/>
      <w:bookmarkStart w:id="13" w:name="_Toc60"/>
      <w:bookmarkStart w:id="14" w:name="_Toc30494"/>
      <w:bookmarkStart w:id="15" w:name="_Toc30275"/>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7067"/>
      <w:bookmarkStart w:id="17" w:name="_Toc30724"/>
      <w:bookmarkStart w:id="18" w:name="_Toc13021"/>
      <w:bookmarkStart w:id="19" w:name="_Toc10183"/>
      <w:bookmarkStart w:id="20" w:name="_Toc10948"/>
      <w:bookmarkStart w:id="21" w:name="_Toc26481"/>
      <w:bookmarkStart w:id="22" w:name="_Toc9131"/>
      <w:bookmarkStart w:id="23" w:name="_Toc32214"/>
      <w:bookmarkStart w:id="24" w:name="_Toc28103"/>
      <w:bookmarkStart w:id="25" w:name="_Toc3081"/>
      <w:bookmarkStart w:id="26" w:name="_Toc3912"/>
      <w:bookmarkStart w:id="27" w:name="_Toc18879"/>
      <w:bookmarkStart w:id="28" w:name="_Toc18513"/>
      <w:bookmarkStart w:id="29" w:name="_Toc3392"/>
      <w:bookmarkStart w:id="30" w:name="_Toc3447"/>
      <w:bookmarkStart w:id="31" w:name="_Toc30080"/>
      <w:bookmarkStart w:id="32" w:name="_Toc19115"/>
      <w:bookmarkStart w:id="33" w:name="_Toc871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10142"/>
      <w:bookmarkStart w:id="36" w:name="_Toc30920"/>
      <w:bookmarkStart w:id="37" w:name="_Toc30649"/>
      <w:bookmarkStart w:id="38" w:name="_Toc22795"/>
      <w:bookmarkStart w:id="39" w:name="_Toc23645"/>
      <w:bookmarkStart w:id="40" w:name="_Toc18259"/>
      <w:bookmarkStart w:id="41" w:name="_Toc7249"/>
      <w:bookmarkStart w:id="42" w:name="_Toc9042"/>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534"/>
      <w:bookmarkStart w:id="46" w:name="_Toc21988"/>
      <w:bookmarkStart w:id="47" w:name="_Toc26548"/>
      <w:bookmarkStart w:id="48" w:name="_Toc4775"/>
      <w:bookmarkStart w:id="49" w:name="_Toc24117"/>
      <w:bookmarkStart w:id="50" w:name="_Toc19600"/>
      <w:bookmarkStart w:id="51" w:name="_Toc25516"/>
      <w:bookmarkStart w:id="52" w:name="_Toc30083"/>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3494"/>
      <w:bookmarkStart w:id="55" w:name="_Toc12333"/>
      <w:bookmarkStart w:id="56" w:name="_Toc27376"/>
      <w:bookmarkStart w:id="57" w:name="_Toc32166"/>
      <w:bookmarkStart w:id="58" w:name="_Toc21982"/>
      <w:bookmarkStart w:id="59" w:name="_Toc16764"/>
      <w:bookmarkStart w:id="60" w:name="_Toc691"/>
      <w:bookmarkStart w:id="61" w:name="_Toc23192"/>
      <w:bookmarkStart w:id="62" w:name="_Toc22198"/>
      <w:bookmarkStart w:id="63" w:name="_Toc16666"/>
      <w:bookmarkStart w:id="64" w:name="_Toc14887"/>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0013"/>
      <w:bookmarkStart w:id="66" w:name="_Toc4577"/>
      <w:bookmarkStart w:id="67" w:name="_Toc22606"/>
      <w:bookmarkStart w:id="68" w:name="_Toc3943"/>
      <w:bookmarkStart w:id="69" w:name="_Toc1371"/>
      <w:bookmarkStart w:id="70" w:name="_Toc31581"/>
      <w:bookmarkStart w:id="71" w:name="_Toc25068"/>
      <w:bookmarkStart w:id="72" w:name="_Toc5412"/>
      <w:bookmarkStart w:id="73" w:name="_Toc14269"/>
      <w:bookmarkStart w:id="74" w:name="_Toc9263"/>
      <w:bookmarkStart w:id="75" w:name="_Toc11914"/>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937"/>
      <w:bookmarkStart w:id="77" w:name="_Toc2316"/>
      <w:bookmarkStart w:id="78" w:name="_Toc3908"/>
      <w:bookmarkStart w:id="79" w:name="_Toc10600"/>
      <w:bookmarkStart w:id="80" w:name="_Toc11489"/>
      <w:bookmarkStart w:id="81" w:name="_Toc31890"/>
      <w:bookmarkStart w:id="82" w:name="_Toc13267"/>
      <w:bookmarkStart w:id="83" w:name="_Toc13677"/>
      <w:bookmarkStart w:id="84" w:name="_Toc17108"/>
      <w:bookmarkStart w:id="85" w:name="_Toc18935"/>
      <w:bookmarkStart w:id="86" w:name="_Toc2919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1351"/>
      <w:bookmarkStart w:id="88" w:name="_Toc1313"/>
      <w:bookmarkStart w:id="89" w:name="_Toc24122"/>
      <w:bookmarkStart w:id="90" w:name="_Toc26756"/>
      <w:bookmarkStart w:id="91" w:name="_Toc12088"/>
      <w:bookmarkStart w:id="92" w:name="_Toc31638"/>
      <w:bookmarkStart w:id="93" w:name="_Toc14252"/>
      <w:bookmarkStart w:id="94" w:name="_Toc15916"/>
      <w:bookmarkStart w:id="95" w:name="_Toc32365"/>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8046"/>
      <w:bookmarkStart w:id="98" w:name="_Toc19589"/>
      <w:bookmarkStart w:id="99" w:name="_Toc29215"/>
      <w:bookmarkStart w:id="100" w:name="_Toc10583"/>
      <w:bookmarkStart w:id="101" w:name="_Toc9398"/>
      <w:bookmarkStart w:id="102" w:name="_Toc22760"/>
      <w:bookmarkStart w:id="103" w:name="_Toc27985"/>
      <w:bookmarkStart w:id="104" w:name="_Toc27948"/>
      <w:bookmarkStart w:id="105" w:name="_Toc23212"/>
      <w:bookmarkStart w:id="106" w:name="_Toc11278"/>
      <w:bookmarkStart w:id="107" w:name="_Toc15083"/>
      <w:bookmarkStart w:id="108" w:name="_Toc15894"/>
      <w:bookmarkStart w:id="109" w:name="_Toc26609"/>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7767"/>
      <w:bookmarkStart w:id="111" w:name="_Toc8083"/>
      <w:bookmarkStart w:id="112" w:name="_Toc29648"/>
      <w:bookmarkStart w:id="113" w:name="_Toc8348"/>
      <w:bookmarkStart w:id="114" w:name="_Toc24655"/>
      <w:bookmarkStart w:id="115" w:name="_Toc757"/>
      <w:bookmarkStart w:id="116" w:name="_Toc17204"/>
      <w:bookmarkStart w:id="117" w:name="_Toc24671"/>
      <w:bookmarkStart w:id="118" w:name="_Toc14546"/>
      <w:bookmarkStart w:id="119" w:name="_Toc4116"/>
      <w:bookmarkStart w:id="120" w:name="_Toc17741"/>
      <w:bookmarkStart w:id="121" w:name="_Toc24107"/>
      <w:bookmarkStart w:id="122" w:name="_Toc8940"/>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2682"/>
      <w:bookmarkStart w:id="124" w:name="_Toc10950"/>
      <w:bookmarkStart w:id="125" w:name="_Toc10308"/>
      <w:bookmarkStart w:id="126" w:name="_Toc5840"/>
      <w:bookmarkStart w:id="127" w:name="_Toc8524"/>
      <w:bookmarkStart w:id="128" w:name="_Toc22243"/>
      <w:bookmarkStart w:id="129" w:name="_Toc2003"/>
      <w:bookmarkStart w:id="130" w:name="_Toc24280"/>
      <w:bookmarkStart w:id="131" w:name="_Toc14781"/>
      <w:bookmarkStart w:id="132" w:name="_Toc15917"/>
      <w:bookmarkStart w:id="133" w:name="_Toc20745"/>
      <w:bookmarkStart w:id="134" w:name="_Toc109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47847685"/>
    <w:multiLevelType w:val="singleLevel"/>
    <w:tmpl w:val="4784768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A99264E"/>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330537D"/>
    <w:rsid w:val="453F45B9"/>
    <w:rsid w:val="4669398D"/>
    <w:rsid w:val="48983A5D"/>
    <w:rsid w:val="4AE36A9A"/>
    <w:rsid w:val="4B7A520A"/>
    <w:rsid w:val="4C5E41EC"/>
    <w:rsid w:val="4EE10A0C"/>
    <w:rsid w:val="51CB3FD0"/>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0</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2024-07-18T08:20:19Z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