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8CBA2D" w14:textId="77777777" w:rsidR="001807DF" w:rsidRDefault="00000000">
      <w:pPr>
        <w:pStyle w:val="1"/>
        <w:spacing w:before="0" w:after="0" w:line="240" w:lineRule="auto"/>
        <w:jc w:val="center"/>
        <w:rPr>
          <w:rFonts w:ascii="仿宋" w:eastAsia="仿宋" w:hAnsi="仿宋"/>
          <w:sz w:val="24"/>
        </w:rPr>
      </w:pPr>
      <w:r>
        <w:rPr>
          <w:rFonts w:ascii="方正小标宋简体" w:eastAsia="方正小标宋简体" w:hAnsi="方正小标宋简体" w:cs="方正小标宋简体" w:hint="eastAsia"/>
        </w:rPr>
        <w:t>金蝶系统维护招标参数</w:t>
      </w:r>
    </w:p>
    <w:p w14:paraId="30CEF8A9" w14:textId="77777777" w:rsidR="001807DF" w:rsidRDefault="00000000">
      <w:pPr>
        <w:ind w:firstLineChars="200" w:firstLine="482"/>
        <w:rPr>
          <w:rFonts w:ascii="仿宋" w:eastAsia="仿宋" w:hAnsi="仿宋"/>
          <w:b/>
          <w:sz w:val="24"/>
        </w:rPr>
      </w:pPr>
      <w:bookmarkStart w:id="0" w:name="PO_默认文件内容_27"/>
      <w:r>
        <w:rPr>
          <w:rFonts w:ascii="仿宋" w:eastAsia="仿宋" w:hAnsi="仿宋" w:hint="eastAsia"/>
          <w:b/>
          <w:sz w:val="24"/>
        </w:rPr>
        <w:t>前提：</w:t>
      </w:r>
      <w:r>
        <w:rPr>
          <w:rFonts w:ascii="仿宋" w:eastAsia="仿宋" w:hAnsi="仿宋"/>
          <w:b/>
          <w:sz w:val="24"/>
        </w:rPr>
        <w:t>本章采购需求中标注“</w:t>
      </w:r>
      <w:r>
        <w:rPr>
          <w:rFonts w:ascii="仿宋" w:eastAsia="仿宋" w:hAnsi="仿宋" w:hint="eastAsia"/>
          <w:b/>
          <w:sz w:val="24"/>
        </w:rPr>
        <w:t>★</w:t>
      </w:r>
      <w:r>
        <w:rPr>
          <w:rFonts w:ascii="仿宋" w:eastAsia="仿宋" w:hAnsi="仿宋"/>
          <w:b/>
          <w:sz w:val="24"/>
        </w:rPr>
        <w:t>”号的条款为本次磋商采购项目的实质性要求，供应商应全部满足</w:t>
      </w:r>
      <w:r>
        <w:rPr>
          <w:rFonts w:ascii="仿宋" w:eastAsia="仿宋" w:hAnsi="仿宋" w:hint="eastAsia"/>
          <w:b/>
          <w:sz w:val="24"/>
        </w:rPr>
        <w:t>，否则其投标文件作无效处理。未标识符号的条款为一般参数条款。</w:t>
      </w:r>
    </w:p>
    <w:p w14:paraId="0F263A99" w14:textId="77777777" w:rsidR="001807DF" w:rsidRDefault="00000000">
      <w:pPr>
        <w:keepNext/>
        <w:keepLines/>
        <w:numPr>
          <w:ilvl w:val="0"/>
          <w:numId w:val="1"/>
        </w:numPr>
        <w:ind w:firstLineChars="200" w:firstLine="643"/>
        <w:outlineLvl w:val="1"/>
        <w:rPr>
          <w:rFonts w:ascii="黑体" w:eastAsia="黑体" w:hAnsi="黑体" w:cs="黑体"/>
          <w:b/>
          <w:bCs/>
          <w:sz w:val="32"/>
          <w:szCs w:val="32"/>
        </w:rPr>
      </w:pPr>
      <w:r>
        <w:rPr>
          <w:rFonts w:ascii="黑体" w:eastAsia="黑体" w:hAnsi="黑体" w:cs="黑体" w:hint="eastAsia"/>
          <w:b/>
          <w:bCs/>
          <w:sz w:val="32"/>
          <w:szCs w:val="32"/>
        </w:rPr>
        <w:t>采购清单及限价</w:t>
      </w:r>
    </w:p>
    <w:tbl>
      <w:tblPr>
        <w:tblW w:w="5155"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949"/>
        <w:gridCol w:w="745"/>
        <w:gridCol w:w="1042"/>
        <w:gridCol w:w="1545"/>
        <w:gridCol w:w="1765"/>
        <w:gridCol w:w="1507"/>
      </w:tblGrid>
      <w:tr w:rsidR="001807DF" w14:paraId="7EBF743E" w14:textId="77777777">
        <w:trPr>
          <w:trHeight w:val="510"/>
        </w:trPr>
        <w:tc>
          <w:tcPr>
            <w:tcW w:w="1139" w:type="pct"/>
            <w:noWrap/>
            <w:tcMar>
              <w:top w:w="15" w:type="dxa"/>
              <w:left w:w="15" w:type="dxa"/>
              <w:right w:w="15" w:type="dxa"/>
            </w:tcMar>
            <w:vAlign w:val="center"/>
          </w:tcPr>
          <w:p w14:paraId="48A2B2D5" w14:textId="77777777" w:rsidR="001807DF" w:rsidRDefault="00000000">
            <w:pPr>
              <w:jc w:val="center"/>
              <w:textAlignment w:val="center"/>
              <w:rPr>
                <w:rFonts w:ascii="仿宋_GB2312" w:eastAsia="仿宋_GB2312" w:hAnsi="仿宋_GB2312" w:cs="仿宋_GB2312"/>
                <w:b/>
                <w:bCs/>
                <w:color w:val="000000"/>
                <w:sz w:val="24"/>
                <w:lang w:bidi="ar"/>
              </w:rPr>
            </w:pPr>
            <w:r>
              <w:rPr>
                <w:rFonts w:ascii="仿宋_GB2312" w:eastAsia="仿宋_GB2312" w:hAnsi="仿宋_GB2312" w:cs="仿宋_GB2312" w:hint="eastAsia"/>
                <w:b/>
                <w:bCs/>
                <w:color w:val="000000"/>
                <w:sz w:val="24"/>
                <w:lang w:bidi="ar"/>
              </w:rPr>
              <w:t>标的名称</w:t>
            </w:r>
          </w:p>
        </w:tc>
        <w:tc>
          <w:tcPr>
            <w:tcW w:w="436" w:type="pct"/>
            <w:noWrap/>
            <w:tcMar>
              <w:top w:w="15" w:type="dxa"/>
              <w:left w:w="15" w:type="dxa"/>
              <w:right w:w="15" w:type="dxa"/>
            </w:tcMar>
            <w:vAlign w:val="center"/>
          </w:tcPr>
          <w:p w14:paraId="24B37883" w14:textId="77777777" w:rsidR="001807DF" w:rsidRDefault="00000000">
            <w:pPr>
              <w:jc w:val="center"/>
              <w:textAlignment w:val="center"/>
              <w:rPr>
                <w:rFonts w:ascii="仿宋_GB2312" w:eastAsia="仿宋_GB2312" w:hAnsi="仿宋_GB2312" w:cs="仿宋_GB2312"/>
                <w:b/>
                <w:bCs/>
                <w:color w:val="000000"/>
                <w:sz w:val="24"/>
              </w:rPr>
            </w:pPr>
            <w:r>
              <w:rPr>
                <w:rFonts w:ascii="仿宋_GB2312" w:eastAsia="仿宋_GB2312" w:hAnsi="仿宋_GB2312" w:cs="仿宋_GB2312" w:hint="eastAsia"/>
                <w:b/>
                <w:bCs/>
                <w:color w:val="000000"/>
                <w:sz w:val="24"/>
                <w:lang w:bidi="ar"/>
              </w:rPr>
              <w:t>数量</w:t>
            </w:r>
          </w:p>
        </w:tc>
        <w:tc>
          <w:tcPr>
            <w:tcW w:w="609" w:type="pct"/>
            <w:noWrap/>
            <w:tcMar>
              <w:top w:w="15" w:type="dxa"/>
              <w:left w:w="15" w:type="dxa"/>
              <w:right w:w="15" w:type="dxa"/>
            </w:tcMar>
            <w:vAlign w:val="center"/>
          </w:tcPr>
          <w:p w14:paraId="1422F8FB" w14:textId="77777777" w:rsidR="001807DF" w:rsidRDefault="00000000">
            <w:pPr>
              <w:jc w:val="center"/>
              <w:textAlignment w:val="center"/>
              <w:rPr>
                <w:rFonts w:ascii="仿宋_GB2312" w:eastAsia="仿宋_GB2312" w:hAnsi="仿宋_GB2312" w:cs="仿宋_GB2312"/>
                <w:b/>
                <w:bCs/>
                <w:color w:val="000000"/>
                <w:sz w:val="24"/>
                <w:lang w:bidi="ar"/>
              </w:rPr>
            </w:pPr>
            <w:r>
              <w:rPr>
                <w:rFonts w:ascii="仿宋_GB2312" w:eastAsia="仿宋_GB2312" w:hAnsi="仿宋_GB2312" w:cs="仿宋_GB2312" w:hint="eastAsia"/>
                <w:b/>
                <w:bCs/>
                <w:color w:val="000000"/>
                <w:sz w:val="24"/>
                <w:lang w:bidi="ar"/>
              </w:rPr>
              <w:t>单位</w:t>
            </w:r>
          </w:p>
        </w:tc>
        <w:tc>
          <w:tcPr>
            <w:tcW w:w="902" w:type="pct"/>
            <w:vAlign w:val="center"/>
          </w:tcPr>
          <w:p w14:paraId="1CB6824A" w14:textId="77777777" w:rsidR="001807DF" w:rsidRDefault="00000000">
            <w:pPr>
              <w:jc w:val="center"/>
              <w:textAlignment w:val="center"/>
              <w:rPr>
                <w:rFonts w:ascii="仿宋_GB2312" w:eastAsia="仿宋_GB2312" w:hAnsi="仿宋_GB2312" w:cs="仿宋_GB2312"/>
                <w:b/>
                <w:bCs/>
                <w:color w:val="000000"/>
                <w:sz w:val="24"/>
                <w:lang w:bidi="ar"/>
              </w:rPr>
            </w:pPr>
            <w:r>
              <w:rPr>
                <w:rFonts w:ascii="仿宋_GB2312" w:eastAsia="仿宋_GB2312" w:hAnsi="仿宋_GB2312" w:cs="仿宋_GB2312" w:hint="eastAsia"/>
                <w:b/>
                <w:bCs/>
                <w:color w:val="000000"/>
                <w:sz w:val="24"/>
                <w:lang w:bidi="ar"/>
              </w:rPr>
              <w:t>项目预算</w:t>
            </w:r>
          </w:p>
        </w:tc>
        <w:tc>
          <w:tcPr>
            <w:tcW w:w="1031" w:type="pct"/>
            <w:vAlign w:val="center"/>
          </w:tcPr>
          <w:p w14:paraId="20B100D7" w14:textId="77777777" w:rsidR="001807DF" w:rsidRDefault="00000000">
            <w:pPr>
              <w:jc w:val="center"/>
              <w:textAlignment w:val="center"/>
              <w:rPr>
                <w:rFonts w:ascii="仿宋_GB2312" w:eastAsia="仿宋_GB2312" w:hAnsi="仿宋_GB2312" w:cs="仿宋_GB2312"/>
                <w:b/>
                <w:bCs/>
                <w:color w:val="000000"/>
                <w:sz w:val="24"/>
                <w:lang w:bidi="ar"/>
              </w:rPr>
            </w:pPr>
            <w:r>
              <w:rPr>
                <w:rFonts w:ascii="仿宋_GB2312" w:eastAsia="仿宋_GB2312" w:hAnsi="仿宋_GB2312" w:cs="仿宋_GB2312" w:hint="eastAsia"/>
                <w:b/>
                <w:bCs/>
                <w:color w:val="000000"/>
                <w:sz w:val="24"/>
                <w:lang w:bidi="ar"/>
              </w:rPr>
              <w:t>最高限价</w:t>
            </w:r>
          </w:p>
        </w:tc>
        <w:tc>
          <w:tcPr>
            <w:tcW w:w="880" w:type="pct"/>
            <w:vAlign w:val="center"/>
          </w:tcPr>
          <w:p w14:paraId="4179F52C" w14:textId="77777777" w:rsidR="001807DF" w:rsidRDefault="00000000">
            <w:pPr>
              <w:jc w:val="center"/>
              <w:textAlignment w:val="center"/>
              <w:rPr>
                <w:rFonts w:ascii="仿宋_GB2312" w:eastAsia="仿宋_GB2312" w:hAnsi="仿宋_GB2312" w:cs="仿宋_GB2312"/>
                <w:b/>
                <w:bCs/>
                <w:color w:val="000000"/>
                <w:sz w:val="24"/>
                <w:lang w:bidi="ar"/>
              </w:rPr>
            </w:pPr>
            <w:r>
              <w:rPr>
                <w:rFonts w:ascii="仿宋_GB2312" w:eastAsia="仿宋_GB2312" w:hAnsi="仿宋_GB2312" w:cs="仿宋_GB2312" w:hint="eastAsia"/>
                <w:b/>
                <w:bCs/>
                <w:color w:val="000000"/>
                <w:sz w:val="24"/>
                <w:lang w:bidi="ar"/>
              </w:rPr>
              <w:t>备注</w:t>
            </w:r>
          </w:p>
        </w:tc>
      </w:tr>
      <w:tr w:rsidR="001807DF" w14:paraId="6323CE28" w14:textId="77777777">
        <w:trPr>
          <w:trHeight w:val="528"/>
        </w:trPr>
        <w:tc>
          <w:tcPr>
            <w:tcW w:w="1139" w:type="pct"/>
            <w:noWrap/>
            <w:tcMar>
              <w:top w:w="15" w:type="dxa"/>
              <w:left w:w="15" w:type="dxa"/>
              <w:right w:w="15" w:type="dxa"/>
            </w:tcMar>
            <w:vAlign w:val="center"/>
          </w:tcPr>
          <w:p w14:paraId="11DB77DF" w14:textId="77777777" w:rsidR="001807DF" w:rsidRDefault="00000000">
            <w:pPr>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金蝶系统维护</w:t>
            </w:r>
          </w:p>
        </w:tc>
        <w:tc>
          <w:tcPr>
            <w:tcW w:w="436" w:type="pct"/>
            <w:tcMar>
              <w:top w:w="15" w:type="dxa"/>
              <w:left w:w="15" w:type="dxa"/>
              <w:right w:w="15" w:type="dxa"/>
            </w:tcMar>
            <w:vAlign w:val="center"/>
          </w:tcPr>
          <w:p w14:paraId="2B92578A" w14:textId="291F53CD" w:rsidR="001807DF" w:rsidRDefault="00421F2F">
            <w:pPr>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p>
        </w:tc>
        <w:tc>
          <w:tcPr>
            <w:tcW w:w="609" w:type="pct"/>
            <w:tcMar>
              <w:top w:w="15" w:type="dxa"/>
              <w:left w:w="15" w:type="dxa"/>
              <w:right w:w="15" w:type="dxa"/>
            </w:tcMar>
            <w:vAlign w:val="center"/>
          </w:tcPr>
          <w:p w14:paraId="28352572" w14:textId="77777777" w:rsidR="001807DF" w:rsidRDefault="00000000">
            <w:pPr>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年</w:t>
            </w:r>
          </w:p>
        </w:tc>
        <w:tc>
          <w:tcPr>
            <w:tcW w:w="902" w:type="pct"/>
            <w:vAlign w:val="center"/>
          </w:tcPr>
          <w:p w14:paraId="19EA57DD" w14:textId="46F0B4E4" w:rsidR="001807DF" w:rsidRDefault="00000000">
            <w:pPr>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1.7万</w:t>
            </w:r>
            <w:r w:rsidR="008E1AEF">
              <w:rPr>
                <w:rFonts w:ascii="仿宋_GB2312" w:eastAsia="仿宋_GB2312" w:hAnsi="仿宋_GB2312" w:cs="仿宋_GB2312" w:hint="eastAsia"/>
                <w:color w:val="000000"/>
                <w:sz w:val="24"/>
              </w:rPr>
              <w:t>/年</w:t>
            </w:r>
          </w:p>
        </w:tc>
        <w:tc>
          <w:tcPr>
            <w:tcW w:w="1031" w:type="pct"/>
            <w:vAlign w:val="center"/>
          </w:tcPr>
          <w:p w14:paraId="4E397DC5" w14:textId="300C88BB" w:rsidR="001807DF" w:rsidRDefault="00000000">
            <w:pPr>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1.7万</w:t>
            </w:r>
            <w:r w:rsidR="008E1AEF">
              <w:rPr>
                <w:rFonts w:ascii="仿宋_GB2312" w:eastAsia="仿宋_GB2312" w:hAnsi="仿宋_GB2312" w:cs="仿宋_GB2312" w:hint="eastAsia"/>
                <w:color w:val="000000"/>
                <w:sz w:val="24"/>
              </w:rPr>
              <w:t>/年</w:t>
            </w:r>
          </w:p>
        </w:tc>
        <w:tc>
          <w:tcPr>
            <w:tcW w:w="880" w:type="pct"/>
            <w:vAlign w:val="center"/>
          </w:tcPr>
          <w:p w14:paraId="0E9AC928" w14:textId="5D53BEAD" w:rsidR="001807DF" w:rsidRDefault="00421F2F">
            <w:pPr>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该项目一采三年，合同一年一签</w:t>
            </w:r>
          </w:p>
        </w:tc>
      </w:tr>
    </w:tbl>
    <w:p w14:paraId="6FA8D16F" w14:textId="77777777" w:rsidR="001807DF" w:rsidRDefault="00000000">
      <w:pPr>
        <w:keepNext/>
        <w:keepLines/>
        <w:ind w:firstLineChars="200" w:firstLine="643"/>
        <w:outlineLvl w:val="1"/>
        <w:rPr>
          <w:rFonts w:ascii="黑体" w:eastAsia="黑体" w:hAnsi="黑体" w:cs="黑体"/>
          <w:b/>
          <w:bCs/>
          <w:sz w:val="32"/>
          <w:szCs w:val="32"/>
        </w:rPr>
      </w:pPr>
      <w:r>
        <w:rPr>
          <w:rFonts w:ascii="黑体" w:eastAsia="黑体" w:hAnsi="黑体" w:cs="黑体" w:hint="eastAsia"/>
          <w:b/>
          <w:bCs/>
          <w:sz w:val="32"/>
          <w:szCs w:val="32"/>
        </w:rPr>
        <w:t>二、项目概述</w:t>
      </w:r>
    </w:p>
    <w:p w14:paraId="3A7787A9" w14:textId="77777777" w:rsidR="001807DF" w:rsidRDefault="00000000">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bCs/>
          <w:sz w:val="32"/>
          <w:szCs w:val="32"/>
        </w:rPr>
        <w:t>因需继续使用金蝶财务系统记账凭证、财务报表、薪资报表等功能模块，</w:t>
      </w:r>
      <w:r>
        <w:rPr>
          <w:rFonts w:ascii="仿宋_GB2312" w:eastAsia="仿宋_GB2312" w:hAnsi="仿宋_GB2312" w:cs="仿宋_GB2312" w:hint="eastAsia"/>
          <w:sz w:val="32"/>
          <w:szCs w:val="32"/>
        </w:rPr>
        <w:t>提出对金蝶系统维护需求。</w:t>
      </w:r>
    </w:p>
    <w:p w14:paraId="169C2D72" w14:textId="2CDF3620" w:rsidR="001807DF" w:rsidRDefault="00000000">
      <w:pPr>
        <w:keepNext/>
        <w:keepLines/>
        <w:ind w:firstLineChars="200" w:firstLine="643"/>
        <w:outlineLvl w:val="1"/>
        <w:rPr>
          <w:rFonts w:ascii="黑体" w:eastAsia="黑体" w:hAnsi="黑体" w:cs="黑体"/>
          <w:b/>
          <w:bCs/>
          <w:sz w:val="32"/>
          <w:szCs w:val="32"/>
        </w:rPr>
      </w:pPr>
      <w:r>
        <w:rPr>
          <w:rFonts w:ascii="黑体" w:eastAsia="黑体" w:hAnsi="黑体" w:cs="黑体" w:hint="eastAsia"/>
          <w:b/>
          <w:bCs/>
          <w:sz w:val="32"/>
          <w:szCs w:val="32"/>
        </w:rPr>
        <w:t>三、</w:t>
      </w:r>
      <w:r w:rsidR="00FB7FC2">
        <w:rPr>
          <w:rFonts w:ascii="楷体_GB2312" w:eastAsia="楷体_GB2312" w:hAnsi="楷体_GB2312" w:cs="楷体_GB2312" w:hint="eastAsia"/>
          <w:b/>
          <w:sz w:val="32"/>
          <w:szCs w:val="32"/>
        </w:rPr>
        <w:t>★</w:t>
      </w:r>
      <w:r>
        <w:rPr>
          <w:rFonts w:ascii="黑体" w:eastAsia="黑体" w:hAnsi="黑体" w:cs="黑体" w:hint="eastAsia"/>
          <w:b/>
          <w:bCs/>
          <w:sz w:val="32"/>
          <w:szCs w:val="32"/>
        </w:rPr>
        <w:t>技术参数要求</w:t>
      </w:r>
    </w:p>
    <w:p w14:paraId="00883A19" w14:textId="36D53857" w:rsidR="001807DF" w:rsidRDefault="00000000">
      <w:pPr>
        <w:ind w:firstLineChars="200" w:firstLine="643"/>
        <w:rPr>
          <w:rFonts w:ascii="楷体_GB2312" w:eastAsia="楷体_GB2312" w:hAnsi="楷体_GB2312" w:cs="楷体_GB2312"/>
          <w:b/>
          <w:sz w:val="32"/>
          <w:szCs w:val="32"/>
        </w:rPr>
      </w:pPr>
      <w:r>
        <w:rPr>
          <w:rFonts w:ascii="楷体_GB2312" w:eastAsia="楷体_GB2312" w:hAnsi="楷体_GB2312" w:cs="楷体_GB2312" w:hint="eastAsia"/>
          <w:b/>
          <w:sz w:val="32"/>
          <w:szCs w:val="32"/>
        </w:rPr>
        <w:t>（一）维护方式：</w:t>
      </w:r>
    </w:p>
    <w:p w14:paraId="05296FBB" w14:textId="77777777" w:rsidR="001807DF" w:rsidRDefault="00000000">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专业技术人员服务，维护方式包括但不仅限于电话、邮件、QQ、微信、远程、现场等，工作日5*8小时制，周末及节假日电话值班，承诺提供7×24小时的软件工程师软件服务响应。</w:t>
      </w:r>
    </w:p>
    <w:p w14:paraId="21B01794" w14:textId="77777777" w:rsidR="001807DF" w:rsidRDefault="00000000">
      <w:pPr>
        <w:ind w:firstLineChars="200" w:firstLine="643"/>
        <w:rPr>
          <w:rFonts w:ascii="楷体_GB2312" w:eastAsia="楷体_GB2312" w:hAnsi="楷体_GB2312" w:cs="楷体_GB2312"/>
          <w:b/>
          <w:sz w:val="32"/>
          <w:szCs w:val="32"/>
        </w:rPr>
      </w:pPr>
      <w:r>
        <w:rPr>
          <w:rFonts w:ascii="楷体_GB2312" w:eastAsia="楷体_GB2312" w:hAnsi="楷体_GB2312" w:cs="楷体_GB2312" w:hint="eastAsia"/>
          <w:b/>
          <w:sz w:val="32"/>
          <w:szCs w:val="32"/>
        </w:rPr>
        <w:t>（二）维护内容：</w:t>
      </w:r>
    </w:p>
    <w:tbl>
      <w:tblPr>
        <w:tblStyle w:val="TableNormal"/>
        <w:tblW w:w="0" w:type="auto"/>
        <w:tblInd w:w="293" w:type="dxa"/>
        <w:tblLayout w:type="fixed"/>
        <w:tblLook w:val="04A0" w:firstRow="1" w:lastRow="0" w:firstColumn="1" w:lastColumn="0" w:noHBand="0" w:noVBand="1"/>
      </w:tblPr>
      <w:tblGrid>
        <w:gridCol w:w="836"/>
        <w:gridCol w:w="3347"/>
        <w:gridCol w:w="3599"/>
      </w:tblGrid>
      <w:tr w:rsidR="001807DF" w14:paraId="28AB9798" w14:textId="77777777">
        <w:trPr>
          <w:trHeight w:hRule="exact" w:val="452"/>
        </w:trPr>
        <w:tc>
          <w:tcPr>
            <w:tcW w:w="836" w:type="dxa"/>
            <w:tcBorders>
              <w:top w:val="single" w:sz="4" w:space="0" w:color="000000"/>
              <w:left w:val="single" w:sz="4" w:space="0" w:color="000000"/>
              <w:bottom w:val="single" w:sz="4" w:space="0" w:color="000000"/>
              <w:right w:val="single" w:sz="4" w:space="0" w:color="000000"/>
            </w:tcBorders>
          </w:tcPr>
          <w:p w14:paraId="7B85420A" w14:textId="77777777" w:rsidR="001807DF" w:rsidRDefault="00000000">
            <w:pPr>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序号</w:t>
            </w:r>
          </w:p>
        </w:tc>
        <w:tc>
          <w:tcPr>
            <w:tcW w:w="3347" w:type="dxa"/>
            <w:tcBorders>
              <w:top w:val="single" w:sz="4" w:space="0" w:color="000000"/>
              <w:left w:val="single" w:sz="4" w:space="0" w:color="000000"/>
              <w:bottom w:val="single" w:sz="4" w:space="0" w:color="000000"/>
              <w:right w:val="single" w:sz="4" w:space="0" w:color="000000"/>
            </w:tcBorders>
          </w:tcPr>
          <w:p w14:paraId="4243802B" w14:textId="77777777" w:rsidR="001807DF" w:rsidRDefault="00000000">
            <w:pPr>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系统名称</w:t>
            </w:r>
          </w:p>
        </w:tc>
        <w:tc>
          <w:tcPr>
            <w:tcW w:w="3599" w:type="dxa"/>
            <w:tcBorders>
              <w:top w:val="single" w:sz="4" w:space="0" w:color="000000"/>
              <w:left w:val="single" w:sz="4" w:space="0" w:color="000000"/>
              <w:bottom w:val="single" w:sz="4" w:space="0" w:color="000000"/>
              <w:right w:val="single" w:sz="4" w:space="0" w:color="000000"/>
            </w:tcBorders>
          </w:tcPr>
          <w:p w14:paraId="3298BD86" w14:textId="77777777" w:rsidR="001807DF" w:rsidRDefault="00000000">
            <w:pPr>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服务范围</w:t>
            </w:r>
          </w:p>
        </w:tc>
      </w:tr>
      <w:tr w:rsidR="001807DF" w14:paraId="10225CA7" w14:textId="77777777">
        <w:trPr>
          <w:trHeight w:hRule="exact" w:val="449"/>
        </w:trPr>
        <w:tc>
          <w:tcPr>
            <w:tcW w:w="836" w:type="dxa"/>
            <w:tcBorders>
              <w:top w:val="single" w:sz="4" w:space="0" w:color="000000"/>
              <w:left w:val="single" w:sz="4" w:space="0" w:color="000000"/>
              <w:bottom w:val="single" w:sz="4" w:space="0" w:color="000000"/>
              <w:right w:val="single" w:sz="4" w:space="0" w:color="000000"/>
            </w:tcBorders>
          </w:tcPr>
          <w:p w14:paraId="59E37ADC" w14:textId="77777777" w:rsidR="001807DF" w:rsidRDefault="00000000">
            <w:pPr>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p>
        </w:tc>
        <w:tc>
          <w:tcPr>
            <w:tcW w:w="3347" w:type="dxa"/>
            <w:tcBorders>
              <w:top w:val="single" w:sz="4" w:space="0" w:color="000000"/>
              <w:left w:val="single" w:sz="4" w:space="0" w:color="000000"/>
              <w:bottom w:val="single" w:sz="4" w:space="0" w:color="000000"/>
              <w:right w:val="single" w:sz="4" w:space="0" w:color="000000"/>
            </w:tcBorders>
          </w:tcPr>
          <w:p w14:paraId="06ED1F32" w14:textId="77777777" w:rsidR="001807DF" w:rsidRDefault="00000000">
            <w:pPr>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业务基础平台服务</w:t>
            </w:r>
          </w:p>
        </w:tc>
        <w:tc>
          <w:tcPr>
            <w:tcW w:w="3599" w:type="dxa"/>
            <w:tcBorders>
              <w:top w:val="single" w:sz="4" w:space="0" w:color="000000"/>
              <w:left w:val="single" w:sz="4" w:space="0" w:color="000000"/>
              <w:bottom w:val="single" w:sz="4" w:space="0" w:color="000000"/>
              <w:right w:val="single" w:sz="4" w:space="0" w:color="000000"/>
            </w:tcBorders>
          </w:tcPr>
          <w:p w14:paraId="51D26966" w14:textId="77777777" w:rsidR="001807DF" w:rsidRDefault="00000000">
            <w:pPr>
              <w:jc w:val="center"/>
              <w:rPr>
                <w:rFonts w:ascii="仿宋_GB2312" w:eastAsia="仿宋_GB2312" w:hAnsi="仿宋_GB2312" w:cs="仿宋_GB2312"/>
                <w:color w:val="000000"/>
                <w:sz w:val="24"/>
                <w:lang w:eastAsia="zh-CN"/>
              </w:rPr>
            </w:pPr>
            <w:r>
              <w:rPr>
                <w:rFonts w:ascii="仿宋_GB2312" w:eastAsia="仿宋_GB2312" w:hAnsi="仿宋_GB2312" w:cs="仿宋_GB2312" w:hint="eastAsia"/>
                <w:color w:val="000000"/>
                <w:sz w:val="24"/>
                <w:lang w:eastAsia="zh-CN"/>
              </w:rPr>
              <w:t>全系统运维服务</w:t>
            </w:r>
            <w:r>
              <w:rPr>
                <w:rFonts w:ascii="仿宋_GB2312" w:eastAsia="仿宋_GB2312" w:hAnsi="仿宋_GB2312" w:cs="仿宋_GB2312" w:hint="eastAsia"/>
                <w:sz w:val="24"/>
                <w:lang w:eastAsia="zh-CN"/>
              </w:rPr>
              <w:t>及数据储存</w:t>
            </w:r>
          </w:p>
        </w:tc>
      </w:tr>
      <w:tr w:rsidR="001807DF" w14:paraId="2A672CDE" w14:textId="77777777">
        <w:trPr>
          <w:trHeight w:hRule="exact" w:val="451"/>
        </w:trPr>
        <w:tc>
          <w:tcPr>
            <w:tcW w:w="836" w:type="dxa"/>
            <w:tcBorders>
              <w:top w:val="single" w:sz="4" w:space="0" w:color="000000"/>
              <w:left w:val="single" w:sz="4" w:space="0" w:color="000000"/>
              <w:bottom w:val="single" w:sz="4" w:space="0" w:color="000000"/>
              <w:right w:val="single" w:sz="4" w:space="0" w:color="000000"/>
            </w:tcBorders>
          </w:tcPr>
          <w:p w14:paraId="11492A0B" w14:textId="77777777" w:rsidR="001807DF" w:rsidRDefault="00000000">
            <w:pPr>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p>
        </w:tc>
        <w:tc>
          <w:tcPr>
            <w:tcW w:w="3347" w:type="dxa"/>
            <w:tcBorders>
              <w:top w:val="single" w:sz="4" w:space="0" w:color="000000"/>
              <w:left w:val="single" w:sz="4" w:space="0" w:color="000000"/>
              <w:bottom w:val="single" w:sz="4" w:space="0" w:color="000000"/>
              <w:right w:val="single" w:sz="4" w:space="0" w:color="000000"/>
            </w:tcBorders>
          </w:tcPr>
          <w:p w14:paraId="3EDEA464" w14:textId="77777777" w:rsidR="001807DF" w:rsidRDefault="00000000">
            <w:pPr>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金蝶财务软件系统</w:t>
            </w:r>
          </w:p>
        </w:tc>
        <w:tc>
          <w:tcPr>
            <w:tcW w:w="3599" w:type="dxa"/>
            <w:tcBorders>
              <w:top w:val="single" w:sz="4" w:space="0" w:color="000000"/>
              <w:left w:val="single" w:sz="4" w:space="0" w:color="000000"/>
              <w:bottom w:val="single" w:sz="4" w:space="0" w:color="000000"/>
              <w:right w:val="single" w:sz="4" w:space="0" w:color="000000"/>
            </w:tcBorders>
          </w:tcPr>
          <w:p w14:paraId="7E55533C" w14:textId="77777777" w:rsidR="001807DF" w:rsidRDefault="00000000">
            <w:pPr>
              <w:jc w:val="center"/>
              <w:rPr>
                <w:rFonts w:ascii="仿宋_GB2312" w:eastAsia="仿宋_GB2312" w:hAnsi="仿宋_GB2312" w:cs="仿宋_GB2312"/>
                <w:color w:val="000000"/>
                <w:sz w:val="24"/>
                <w:lang w:eastAsia="zh-CN"/>
              </w:rPr>
            </w:pPr>
            <w:r>
              <w:rPr>
                <w:rFonts w:ascii="仿宋_GB2312" w:eastAsia="仿宋_GB2312" w:hAnsi="仿宋_GB2312" w:cs="仿宋_GB2312" w:hint="eastAsia"/>
                <w:color w:val="000000"/>
                <w:sz w:val="24"/>
                <w:lang w:eastAsia="zh-CN"/>
              </w:rPr>
              <w:t>全系统运维服务</w:t>
            </w:r>
            <w:r>
              <w:rPr>
                <w:rFonts w:ascii="仿宋_GB2312" w:eastAsia="仿宋_GB2312" w:hAnsi="仿宋_GB2312" w:cs="仿宋_GB2312" w:hint="eastAsia"/>
                <w:sz w:val="24"/>
                <w:lang w:eastAsia="zh-CN"/>
              </w:rPr>
              <w:t>及数据储存</w:t>
            </w:r>
          </w:p>
        </w:tc>
      </w:tr>
    </w:tbl>
    <w:p w14:paraId="53311517" w14:textId="0A2C3F46" w:rsidR="001807DF" w:rsidRDefault="00000000">
      <w:pPr>
        <w:ind w:leftChars="200" w:left="420" w:firstLineChars="100" w:firstLine="321"/>
        <w:rPr>
          <w:rFonts w:ascii="仿宋_GB2312" w:eastAsia="仿宋_GB2312" w:hAnsi="仿宋_GB2312" w:cs="仿宋_GB2312"/>
          <w:sz w:val="32"/>
          <w:szCs w:val="32"/>
        </w:rPr>
      </w:pPr>
      <w:r>
        <w:rPr>
          <w:rFonts w:ascii="仿宋_GB2312" w:eastAsia="仿宋_GB2312" w:hAnsi="仿宋_GB2312" w:cs="仿宋_GB2312" w:hint="eastAsia"/>
          <w:b/>
          <w:bCs/>
          <w:sz w:val="32"/>
          <w:szCs w:val="32"/>
        </w:rPr>
        <w:t>1.日常维护内容</w:t>
      </w:r>
    </w:p>
    <w:p w14:paraId="1D030865" w14:textId="77777777" w:rsidR="001807DF" w:rsidRDefault="00000000">
      <w:pPr>
        <w:pStyle w:val="a0"/>
        <w:spacing w:after="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包括在线应答、远程协助、技术支持、故障清查、错误修改、业务变更及新增业务需求的修改、软件维护、协助提</w:t>
      </w:r>
      <w:r>
        <w:rPr>
          <w:rFonts w:ascii="仿宋_GB2312" w:eastAsia="仿宋_GB2312" w:hAnsi="仿宋_GB2312" w:cs="仿宋_GB2312" w:hint="eastAsia"/>
          <w:sz w:val="32"/>
          <w:szCs w:val="32"/>
        </w:rPr>
        <w:lastRenderedPageBreak/>
        <w:t>高应用等服务，具体为：</w:t>
      </w:r>
    </w:p>
    <w:p w14:paraId="1865D9E5" w14:textId="77777777" w:rsidR="001807DF" w:rsidRDefault="00000000">
      <w:pPr>
        <w:pStyle w:val="aa"/>
        <w:numPr>
          <w:ilvl w:val="0"/>
          <w:numId w:val="2"/>
        </w:numPr>
        <w:spacing w:after="0" w:line="24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在用的上述维护系统的所有BUG性问题；</w:t>
      </w:r>
    </w:p>
    <w:p w14:paraId="1664D972" w14:textId="77777777" w:rsidR="001807DF" w:rsidRDefault="00000000">
      <w:pPr>
        <w:pStyle w:val="aa"/>
        <w:numPr>
          <w:ilvl w:val="0"/>
          <w:numId w:val="2"/>
        </w:numPr>
        <w:spacing w:after="0" w:line="24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提供系统的日常维护，保障用户正常运行系统；</w:t>
      </w:r>
    </w:p>
    <w:p w14:paraId="35F6A72F" w14:textId="77777777" w:rsidR="001807DF" w:rsidRDefault="00000000">
      <w:pPr>
        <w:pStyle w:val="aa"/>
        <w:numPr>
          <w:ilvl w:val="0"/>
          <w:numId w:val="2"/>
        </w:numPr>
        <w:spacing w:after="0" w:line="24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优化系统流程方面的运用，合理配置用户角色及权限管理建议；</w:t>
      </w:r>
    </w:p>
    <w:p w14:paraId="52787576" w14:textId="77777777" w:rsidR="001807DF" w:rsidRDefault="00000000">
      <w:pPr>
        <w:pStyle w:val="aa"/>
        <w:numPr>
          <w:ilvl w:val="0"/>
          <w:numId w:val="2"/>
        </w:numPr>
        <w:spacing w:after="0" w:line="24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提供医院职能及临床科室对系统数据提取技术支持；</w:t>
      </w:r>
    </w:p>
    <w:p w14:paraId="723F2354" w14:textId="77777777" w:rsidR="001807DF" w:rsidRDefault="00000000">
      <w:pPr>
        <w:pStyle w:val="aa"/>
        <w:numPr>
          <w:ilvl w:val="0"/>
          <w:numId w:val="2"/>
        </w:numPr>
        <w:spacing w:after="0" w:line="24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提供系统功能的深化运用服务；</w:t>
      </w:r>
    </w:p>
    <w:p w14:paraId="7B3B4A31" w14:textId="77777777" w:rsidR="001807DF" w:rsidRDefault="00000000">
      <w:pPr>
        <w:pStyle w:val="aa"/>
        <w:numPr>
          <w:ilvl w:val="0"/>
          <w:numId w:val="2"/>
        </w:numPr>
        <w:spacing w:after="0" w:line="24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提供对不破坏系统整体性的个性化现场修改服务，如单据打印模板的设计、报表增加字段、数据库中已有的数据要求大批量数据导出、操作界面优化、能够采集到数的新报表的开发；</w:t>
      </w:r>
    </w:p>
    <w:p w14:paraId="2C9A4398" w14:textId="77777777" w:rsidR="001807DF" w:rsidRDefault="00000000">
      <w:pPr>
        <w:pStyle w:val="aa"/>
        <w:numPr>
          <w:ilvl w:val="0"/>
          <w:numId w:val="2"/>
        </w:numPr>
        <w:spacing w:after="0" w:line="24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招标人按照医院管理工作需要对医院相关工作人员进行软件的数据字典培训、业务培训等；</w:t>
      </w:r>
    </w:p>
    <w:p w14:paraId="351FF98F" w14:textId="77777777" w:rsidR="001807DF" w:rsidRDefault="00000000">
      <w:pPr>
        <w:ind w:leftChars="200" w:left="420" w:firstLineChars="100" w:firstLine="321"/>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2.应急响应及机制</w:t>
      </w:r>
    </w:p>
    <w:p w14:paraId="26B5A689" w14:textId="77777777" w:rsidR="001807DF" w:rsidRDefault="00000000">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（1）级别一：系统瘫痪---现有的系统瘫痪，或对采购人的业务操作有重大影响。供应商必须在30分钟内指派专业工程师对问题进行响应，2小时内完成系统修复。特殊情况双方协商处理。</w:t>
      </w:r>
    </w:p>
    <w:p w14:paraId="21C2A977" w14:textId="77777777" w:rsidR="001807DF" w:rsidRDefault="00000000">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（2）级别二：严重退化---现有系统性能令人无法接受，将对采购人的业务操作产生消级的影响。供应商必须在50分钟内指派专业工程师对问题进行响应， 4小时内完成系统修</w:t>
      </w:r>
      <w:r>
        <w:rPr>
          <w:rFonts w:ascii="仿宋_GB2312" w:eastAsia="仿宋_GB2312" w:hAnsi="仿宋_GB2312" w:cs="仿宋_GB2312" w:hint="eastAsia"/>
          <w:sz w:val="32"/>
          <w:szCs w:val="32"/>
        </w:rPr>
        <w:lastRenderedPageBreak/>
        <w:t>复。特殊情况双方协商处理。</w:t>
      </w:r>
    </w:p>
    <w:p w14:paraId="43EC0FF3" w14:textId="77777777" w:rsidR="001807DF" w:rsidRDefault="00000000">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（3）级别三：性能的削弱---现有系统性能削弱，但采购人业务操作仍可继续。 供应商必须在1小时内指派专业工程师对问题进行响应，8小时内完成系统修复。特殊情况双方协商处理。</w:t>
      </w:r>
    </w:p>
    <w:p w14:paraId="522CAF53" w14:textId="77777777" w:rsidR="001807DF" w:rsidRDefault="00000000">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（4）级别四：信息或援助---采购人需要关于产品性能安装、配置方面的信息或援助。供应商必须在2小时内指派专业工程师对问题进行响应，12小时内完成系统修复。特殊情况双方协商处理。</w:t>
      </w:r>
    </w:p>
    <w:p w14:paraId="174ED906" w14:textId="77777777" w:rsidR="001807DF" w:rsidRDefault="00000000">
      <w:pPr>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3.维护说明</w:t>
      </w:r>
    </w:p>
    <w:p w14:paraId="46E874CD" w14:textId="77777777" w:rsidR="001807DF" w:rsidRDefault="00000000">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（1）医院金蝶系统的应用性问题；</w:t>
      </w:r>
    </w:p>
    <w:p w14:paraId="5ED5AA19" w14:textId="77777777" w:rsidR="001807DF" w:rsidRDefault="00000000">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（2）提供系统的日常维保，保障用户正常运行系统；</w:t>
      </w:r>
    </w:p>
    <w:p w14:paraId="45EB61D0" w14:textId="77777777" w:rsidR="001807DF" w:rsidRDefault="00000000">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（3）优化系统流程方面的运用，合理配置用户角色及权限管理建议； </w:t>
      </w:r>
    </w:p>
    <w:p w14:paraId="72145581" w14:textId="77777777" w:rsidR="001807DF" w:rsidRDefault="00000000">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（4）技术人员的培训，培训内容包括：相关软件的数据字典培训、业务培训等。</w:t>
      </w:r>
    </w:p>
    <w:p w14:paraId="11213A1D" w14:textId="77777777" w:rsidR="001807DF" w:rsidRDefault="00000000">
      <w:pPr>
        <w:ind w:leftChars="200" w:left="420" w:firstLineChars="100" w:firstLine="321"/>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4.维护服务人员要求</w:t>
      </w:r>
    </w:p>
    <w:p w14:paraId="42BF34F0" w14:textId="77777777" w:rsidR="001807DF" w:rsidRDefault="00000000">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供应商指派的进行维护服务的技术人员必须具有4年以上医院信息化工作经验。技术人员变动前须与采购人进行协商确认，获得采购人认可方可变动。供应商公司指定项目协调负责人，以便双方沟通协商。</w:t>
      </w:r>
    </w:p>
    <w:p w14:paraId="3C5EC330" w14:textId="77777777" w:rsidR="001807DF" w:rsidRDefault="00000000">
      <w:pPr>
        <w:ind w:leftChars="200" w:left="420" w:firstLineChars="100" w:firstLine="321"/>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5.其他要求</w:t>
      </w:r>
    </w:p>
    <w:p w14:paraId="1A72E6C6" w14:textId="77777777" w:rsidR="001807DF" w:rsidRDefault="00000000">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供应商应针对本项目服务内容提供相应的项目方案。</w:t>
      </w:r>
    </w:p>
    <w:p w14:paraId="450C07B5" w14:textId="7529C41E" w:rsidR="001807DF" w:rsidRDefault="00000000">
      <w:pPr>
        <w:pStyle w:val="a0"/>
        <w:spacing w:after="0"/>
        <w:ind w:firstLineChars="200" w:firstLine="643"/>
        <w:rPr>
          <w:rFonts w:ascii="黑体" w:eastAsia="黑体" w:hAnsi="黑体" w:cs="黑体"/>
          <w:b/>
          <w:bCs/>
          <w:sz w:val="32"/>
          <w:szCs w:val="32"/>
        </w:rPr>
      </w:pPr>
      <w:r>
        <w:rPr>
          <w:rFonts w:ascii="黑体" w:eastAsia="黑体" w:hAnsi="黑体" w:cs="黑体" w:hint="eastAsia"/>
          <w:b/>
          <w:bCs/>
          <w:sz w:val="32"/>
          <w:szCs w:val="32"/>
        </w:rPr>
        <w:t>四、</w:t>
      </w:r>
      <w:r w:rsidR="00685C8E" w:rsidRPr="00685C8E">
        <w:rPr>
          <w:rFonts w:ascii="黑体" w:eastAsia="黑体" w:hAnsi="黑体" w:cs="黑体" w:hint="eastAsia"/>
          <w:b/>
          <w:bCs/>
          <w:sz w:val="32"/>
          <w:szCs w:val="32"/>
        </w:rPr>
        <w:t>★</w:t>
      </w:r>
      <w:r>
        <w:rPr>
          <w:rFonts w:ascii="黑体" w:eastAsia="黑体" w:hAnsi="黑体" w:cs="黑体" w:hint="eastAsia"/>
          <w:b/>
          <w:bCs/>
          <w:sz w:val="32"/>
          <w:szCs w:val="32"/>
        </w:rPr>
        <w:t xml:space="preserve">商务要求 </w:t>
      </w:r>
    </w:p>
    <w:p w14:paraId="7990730E" w14:textId="16D96FCD" w:rsidR="001807DF" w:rsidRDefault="00000000">
      <w:pPr>
        <w:pStyle w:val="a0"/>
        <w:spacing w:after="0"/>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（一）服务期限：合同签订生效之日起</w:t>
      </w:r>
      <w:r w:rsidR="00421F2F">
        <w:rPr>
          <w:rFonts w:ascii="楷体_GB2312" w:eastAsia="楷体_GB2312" w:hAnsi="楷体_GB2312" w:cs="楷体_GB2312" w:hint="eastAsia"/>
          <w:sz w:val="32"/>
          <w:szCs w:val="32"/>
        </w:rPr>
        <w:t>3</w:t>
      </w:r>
      <w:r>
        <w:rPr>
          <w:rFonts w:ascii="楷体_GB2312" w:eastAsia="楷体_GB2312" w:hAnsi="楷体_GB2312" w:cs="楷体_GB2312" w:hint="eastAsia"/>
          <w:sz w:val="32"/>
          <w:szCs w:val="32"/>
        </w:rPr>
        <w:t>年。</w:t>
      </w:r>
    </w:p>
    <w:p w14:paraId="359AEB27" w14:textId="6DDC1E1B" w:rsidR="001807DF" w:rsidRDefault="00000000">
      <w:pPr>
        <w:pStyle w:val="a0"/>
        <w:spacing w:after="0"/>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（二）服务地点：采购人指定地点</w:t>
      </w:r>
    </w:p>
    <w:p w14:paraId="133C15CE" w14:textId="307BD790" w:rsidR="001807DF" w:rsidRDefault="00000000">
      <w:pPr>
        <w:pStyle w:val="a0"/>
        <w:spacing w:after="0"/>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（三）付款方法和条件：</w:t>
      </w:r>
    </w:p>
    <w:p w14:paraId="372AA36E" w14:textId="3852DAC5" w:rsidR="00421F2F" w:rsidRDefault="000D5ECF">
      <w:pPr>
        <w:pStyle w:val="a0"/>
        <w:numPr>
          <w:ilvl w:val="0"/>
          <w:numId w:val="3"/>
        </w:numPr>
        <w:spacing w:after="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按年支付。</w:t>
      </w:r>
    </w:p>
    <w:p w14:paraId="031D4320" w14:textId="4B584E72" w:rsidR="001807DF" w:rsidRDefault="00000000">
      <w:pPr>
        <w:pStyle w:val="a0"/>
        <w:numPr>
          <w:ilvl w:val="0"/>
          <w:numId w:val="3"/>
        </w:numPr>
        <w:spacing w:after="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服务合同签订生效后30个工作日内，投标人向采购人提供全额增值税发票，采购人向投标人支付</w:t>
      </w:r>
      <w:r w:rsidR="000D5ECF">
        <w:rPr>
          <w:rFonts w:ascii="仿宋_GB2312" w:eastAsia="仿宋_GB2312" w:hAnsi="仿宋_GB2312" w:cs="仿宋_GB2312" w:hint="eastAsia"/>
          <w:sz w:val="32"/>
          <w:szCs w:val="32"/>
        </w:rPr>
        <w:t>年度</w:t>
      </w:r>
      <w:r>
        <w:rPr>
          <w:rFonts w:ascii="仿宋_GB2312" w:eastAsia="仿宋_GB2312" w:hAnsi="仿宋_GB2312" w:cs="仿宋_GB2312" w:hint="eastAsia"/>
          <w:sz w:val="32"/>
          <w:szCs w:val="32"/>
        </w:rPr>
        <w:t>合同金额的90%；</w:t>
      </w:r>
    </w:p>
    <w:p w14:paraId="14A4DA73" w14:textId="36FF75C4" w:rsidR="001807DF" w:rsidRDefault="00E9281D">
      <w:pPr>
        <w:pStyle w:val="a0"/>
        <w:numPr>
          <w:ilvl w:val="0"/>
          <w:numId w:val="3"/>
        </w:numPr>
        <w:spacing w:after="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年度</w:t>
      </w:r>
      <w:r w:rsidR="00000000">
        <w:rPr>
          <w:rFonts w:ascii="仿宋_GB2312" w:eastAsia="仿宋_GB2312" w:hAnsi="仿宋_GB2312" w:cs="仿宋_GB2312" w:hint="eastAsia"/>
          <w:sz w:val="32"/>
          <w:szCs w:val="32"/>
        </w:rPr>
        <w:t>服务期满后支付剩余</w:t>
      </w:r>
      <w:r w:rsidR="000D5ECF">
        <w:rPr>
          <w:rFonts w:ascii="仿宋_GB2312" w:eastAsia="仿宋_GB2312" w:hAnsi="仿宋_GB2312" w:cs="仿宋_GB2312" w:hint="eastAsia"/>
          <w:sz w:val="32"/>
          <w:szCs w:val="32"/>
        </w:rPr>
        <w:t>年度合同金额的</w:t>
      </w:r>
      <w:r w:rsidR="00000000">
        <w:rPr>
          <w:rFonts w:ascii="仿宋_GB2312" w:eastAsia="仿宋_GB2312" w:hAnsi="仿宋_GB2312" w:cs="仿宋_GB2312" w:hint="eastAsia"/>
          <w:sz w:val="32"/>
          <w:szCs w:val="32"/>
        </w:rPr>
        <w:t>10%。</w:t>
      </w:r>
    </w:p>
    <w:p w14:paraId="135D2D9F" w14:textId="77777777" w:rsidR="001807DF" w:rsidRDefault="00000000">
      <w:pPr>
        <w:pStyle w:val="a0"/>
        <w:numPr>
          <w:ilvl w:val="0"/>
          <w:numId w:val="3"/>
        </w:numPr>
        <w:spacing w:after="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报价要求</w:t>
      </w:r>
    </w:p>
    <w:p w14:paraId="78ABEDF2" w14:textId="77777777" w:rsidR="001807DF" w:rsidRDefault="00000000">
      <w:pPr>
        <w:pStyle w:val="a0"/>
        <w:spacing w:after="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本次报价包含完成本项目的所有费用，包含项目调研、咨询服务、方案制定、部署实施、培训、税费等费用，采购人不再额外支付任何费用。</w:t>
      </w:r>
    </w:p>
    <w:p w14:paraId="76D45E2A" w14:textId="77777777" w:rsidR="001807DF" w:rsidRDefault="00000000">
      <w:pPr>
        <w:pStyle w:val="a0"/>
        <w:numPr>
          <w:ilvl w:val="0"/>
          <w:numId w:val="3"/>
        </w:numPr>
        <w:spacing w:after="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验收标准</w:t>
      </w:r>
    </w:p>
    <w:p w14:paraId="4C2D57D6" w14:textId="77777777" w:rsidR="001807DF" w:rsidRDefault="00000000">
      <w:pPr>
        <w:pStyle w:val="a0"/>
        <w:spacing w:after="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（1）中标人与采购人将严格按照采购相关制度的要求进行验收。</w:t>
      </w:r>
    </w:p>
    <w:p w14:paraId="028F79D9" w14:textId="77777777" w:rsidR="001807DF" w:rsidRDefault="00000000">
      <w:pPr>
        <w:pStyle w:val="a0"/>
        <w:spacing w:after="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（2）以招标文件技术参数及要求和相关行业标准为准。</w:t>
      </w:r>
    </w:p>
    <w:p w14:paraId="554229C9" w14:textId="77777777" w:rsidR="001807DF" w:rsidRDefault="00000000">
      <w:pPr>
        <w:pStyle w:val="a0"/>
        <w:spacing w:after="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 其他要求</w:t>
      </w:r>
    </w:p>
    <w:p w14:paraId="6649E773" w14:textId="77777777" w:rsidR="001807DF" w:rsidRDefault="00000000">
      <w:pPr>
        <w:pStyle w:val="a0"/>
        <w:spacing w:after="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（1）服务期内，如果因乙方原因造成甲方违反国家卫生行政管理部门或上级相关行政部门的规定被上级部门约谈、通报及处罚等情况发生，甲方有权对乙方进行以下处理：①</w:t>
      </w:r>
      <w:r>
        <w:rPr>
          <w:rFonts w:ascii="仿宋_GB2312" w:eastAsia="仿宋_GB2312" w:hAnsi="仿宋_GB2312" w:cs="仿宋_GB2312" w:hint="eastAsia"/>
          <w:sz w:val="32"/>
          <w:szCs w:val="32"/>
        </w:rPr>
        <w:lastRenderedPageBreak/>
        <w:t>要求乙方承担甲方实际损失；②同时，每发生一次，要求乙方承担成交金额的5%的违约金；情节严重的，每次乙方需承担成交金额的10%的违约金；③乙方承担损失金额及违约金都将从合同款中扣除，扣除后不足部分由乙方补足。</w:t>
      </w:r>
    </w:p>
    <w:p w14:paraId="3C41190B" w14:textId="77777777" w:rsidR="001807DF" w:rsidRDefault="00000000">
      <w:pPr>
        <w:pStyle w:val="a0"/>
        <w:spacing w:after="0"/>
        <w:ind w:firstLineChars="200" w:firstLine="640"/>
        <w:rPr>
          <w:rFonts w:ascii="仿宋" w:eastAsia="仿宋" w:hAnsi="仿宋"/>
          <w:b/>
          <w:bCs/>
          <w:sz w:val="24"/>
          <w:szCs w:val="32"/>
        </w:rPr>
      </w:pPr>
      <w:r>
        <w:rPr>
          <w:rFonts w:ascii="仿宋_GB2312" w:eastAsia="仿宋_GB2312" w:hAnsi="仿宋_GB2312" w:cs="仿宋_GB2312" w:hint="eastAsia"/>
          <w:sz w:val="32"/>
          <w:szCs w:val="32"/>
        </w:rPr>
        <w:t>（2）其余事项以合同为准。</w:t>
      </w:r>
      <w:bookmarkEnd w:id="0"/>
    </w:p>
    <w:sectPr w:rsidR="001807DF">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146AFC" w14:textId="77777777" w:rsidR="00254C07" w:rsidRDefault="00254C07">
      <w:r>
        <w:separator/>
      </w:r>
    </w:p>
  </w:endnote>
  <w:endnote w:type="continuationSeparator" w:id="0">
    <w:p w14:paraId="07BD25AB" w14:textId="77777777" w:rsidR="00254C07" w:rsidRDefault="00254C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方正小标宋简体">
    <w:altName w:val="微软雅黑"/>
    <w:charset w:val="86"/>
    <w:family w:val="auto"/>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8F1847" w14:textId="77777777" w:rsidR="001807DF" w:rsidRDefault="00000000">
    <w:pPr>
      <w:pStyle w:val="a6"/>
    </w:pPr>
    <w:r>
      <w:rPr>
        <w:noProof/>
      </w:rPr>
      <mc:AlternateContent>
        <mc:Choice Requires="wps">
          <w:drawing>
            <wp:anchor distT="0" distB="0" distL="114300" distR="114300" simplePos="0" relativeHeight="251659264" behindDoc="0" locked="0" layoutInCell="1" allowOverlap="1" wp14:anchorId="2DBFF3E4" wp14:editId="37FC42C0">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399A02E" w14:textId="77777777" w:rsidR="001807DF" w:rsidRDefault="00000000">
                          <w:pPr>
                            <w:pStyle w:val="a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2DBFF3E4"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6399A02E" w14:textId="77777777" w:rsidR="001807DF" w:rsidRDefault="00000000">
                    <w:pPr>
                      <w:pStyle w:val="a6"/>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573787" w14:textId="77777777" w:rsidR="00254C07" w:rsidRDefault="00254C07">
      <w:r>
        <w:separator/>
      </w:r>
    </w:p>
  </w:footnote>
  <w:footnote w:type="continuationSeparator" w:id="0">
    <w:p w14:paraId="7276126C" w14:textId="77777777" w:rsidR="00254C07" w:rsidRDefault="00254C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F03202A"/>
    <w:multiLevelType w:val="singleLevel"/>
    <w:tmpl w:val="8F03202A"/>
    <w:lvl w:ilvl="0">
      <w:start w:val="1"/>
      <w:numFmt w:val="chineseCounting"/>
      <w:suff w:val="nothing"/>
      <w:lvlText w:val="%1、"/>
      <w:lvlJc w:val="left"/>
      <w:rPr>
        <w:rFonts w:hint="eastAsia"/>
      </w:rPr>
    </w:lvl>
  </w:abstractNum>
  <w:abstractNum w:abstractNumId="1" w15:restartNumberingAfterBreak="0">
    <w:nsid w:val="97582814"/>
    <w:multiLevelType w:val="singleLevel"/>
    <w:tmpl w:val="97582814"/>
    <w:lvl w:ilvl="0">
      <w:start w:val="1"/>
      <w:numFmt w:val="decimal"/>
      <w:suff w:val="nothing"/>
      <w:lvlText w:val="（%1）"/>
      <w:lvlJc w:val="left"/>
    </w:lvl>
  </w:abstractNum>
  <w:abstractNum w:abstractNumId="2" w15:restartNumberingAfterBreak="0">
    <w:nsid w:val="33AAC858"/>
    <w:multiLevelType w:val="singleLevel"/>
    <w:tmpl w:val="33AAC858"/>
    <w:lvl w:ilvl="0">
      <w:start w:val="1"/>
      <w:numFmt w:val="decimal"/>
      <w:suff w:val="space"/>
      <w:lvlText w:val="%1."/>
      <w:lvlJc w:val="left"/>
    </w:lvl>
  </w:abstractNum>
  <w:num w:numId="1" w16cid:durableId="2100133209">
    <w:abstractNumId w:val="0"/>
  </w:num>
  <w:num w:numId="2" w16cid:durableId="1860923102">
    <w:abstractNumId w:val="1"/>
  </w:num>
  <w:num w:numId="3" w16cid:durableId="90580059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WY3NDAwOTJiNDk3MGEzNWJjZjgyNmEzMjJiZTFmNTEifQ=="/>
  </w:docVars>
  <w:rsids>
    <w:rsidRoot w:val="00E30332"/>
    <w:rsid w:val="00016629"/>
    <w:rsid w:val="000231F8"/>
    <w:rsid w:val="000D5ECF"/>
    <w:rsid w:val="001807DF"/>
    <w:rsid w:val="00254C07"/>
    <w:rsid w:val="00330802"/>
    <w:rsid w:val="00332C43"/>
    <w:rsid w:val="003C7EAD"/>
    <w:rsid w:val="003D1C77"/>
    <w:rsid w:val="003D6095"/>
    <w:rsid w:val="00421F2F"/>
    <w:rsid w:val="004E2490"/>
    <w:rsid w:val="004F1379"/>
    <w:rsid w:val="00513957"/>
    <w:rsid w:val="00571B34"/>
    <w:rsid w:val="0059061E"/>
    <w:rsid w:val="00620F45"/>
    <w:rsid w:val="00666403"/>
    <w:rsid w:val="00685C8E"/>
    <w:rsid w:val="006B4986"/>
    <w:rsid w:val="006D2362"/>
    <w:rsid w:val="007439C5"/>
    <w:rsid w:val="00883D2D"/>
    <w:rsid w:val="00894ABF"/>
    <w:rsid w:val="008E1AEF"/>
    <w:rsid w:val="009921BB"/>
    <w:rsid w:val="00993A83"/>
    <w:rsid w:val="00A05622"/>
    <w:rsid w:val="00B1222D"/>
    <w:rsid w:val="00C04627"/>
    <w:rsid w:val="00C2266E"/>
    <w:rsid w:val="00CD61CB"/>
    <w:rsid w:val="00E11C38"/>
    <w:rsid w:val="00E30332"/>
    <w:rsid w:val="00E54F17"/>
    <w:rsid w:val="00E7227A"/>
    <w:rsid w:val="00E9281D"/>
    <w:rsid w:val="00EA79E4"/>
    <w:rsid w:val="00F65FF3"/>
    <w:rsid w:val="00F918CD"/>
    <w:rsid w:val="00FB3CA2"/>
    <w:rsid w:val="00FB7FC2"/>
    <w:rsid w:val="01797FEF"/>
    <w:rsid w:val="05024C1D"/>
    <w:rsid w:val="06A2636C"/>
    <w:rsid w:val="2275478F"/>
    <w:rsid w:val="24515E34"/>
    <w:rsid w:val="29261450"/>
    <w:rsid w:val="44114350"/>
    <w:rsid w:val="47672B86"/>
    <w:rsid w:val="541D1402"/>
    <w:rsid w:val="5AB37C5C"/>
    <w:rsid w:val="5B5C3028"/>
    <w:rsid w:val="6AC528FD"/>
    <w:rsid w:val="7090779A"/>
    <w:rsid w:val="78DD4E9B"/>
    <w:rsid w:val="7C6359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307C73"/>
  <w15:docId w15:val="{0EE0865E-3B12-4A8A-982C-B18A4ABE3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uiPriority="0"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pPr>
      <w:widowControl w:val="0"/>
      <w:jc w:val="both"/>
    </w:pPr>
    <w:rPr>
      <w:rFonts w:ascii="Times New Roman" w:eastAsia="宋体" w:hAnsi="Times New Roman" w:cs="Times New Roman"/>
      <w:kern w:val="2"/>
      <w:sz w:val="21"/>
      <w:szCs w:val="24"/>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link w:val="a4"/>
    <w:uiPriority w:val="99"/>
    <w:semiHidden/>
    <w:unhideWhenUsed/>
    <w:qFormat/>
    <w:pPr>
      <w:spacing w:after="120"/>
    </w:pPr>
  </w:style>
  <w:style w:type="paragraph" w:styleId="a5">
    <w:name w:val="Normal Indent"/>
    <w:basedOn w:val="a"/>
    <w:qFormat/>
    <w:pPr>
      <w:ind w:firstLineChars="200" w:firstLine="420"/>
    </w:pPr>
  </w:style>
  <w:style w:type="paragraph" w:styleId="a6">
    <w:name w:val="footer"/>
    <w:basedOn w:val="a"/>
    <w:link w:val="a7"/>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8">
    <w:name w:val="header"/>
    <w:basedOn w:val="a"/>
    <w:link w:val="a9"/>
    <w:uiPriority w:val="99"/>
    <w:unhideWhenUsed/>
    <w:qFormat/>
    <w:pPr>
      <w:tabs>
        <w:tab w:val="center" w:pos="4153"/>
        <w:tab w:val="right" w:pos="8306"/>
      </w:tabs>
      <w:snapToGrid w:val="0"/>
      <w:jc w:val="center"/>
    </w:pPr>
    <w:rPr>
      <w:rFonts w:asciiTheme="minorHAnsi" w:eastAsiaTheme="minorEastAsia" w:hAnsiTheme="minorHAnsi" w:cstheme="minorBidi"/>
      <w:sz w:val="18"/>
      <w:szCs w:val="18"/>
    </w:rPr>
  </w:style>
  <w:style w:type="paragraph" w:styleId="aa">
    <w:name w:val="Body Text First Indent"/>
    <w:basedOn w:val="a0"/>
    <w:link w:val="ab"/>
    <w:qFormat/>
    <w:pPr>
      <w:spacing w:line="360" w:lineRule="auto"/>
      <w:ind w:firstLineChars="100" w:firstLine="420"/>
    </w:pPr>
    <w:rPr>
      <w:rFonts w:cstheme="minorBidi"/>
      <w:sz w:val="24"/>
      <w:szCs w:val="21"/>
    </w:rPr>
  </w:style>
  <w:style w:type="table" w:styleId="ac">
    <w:name w:val="Table Grid"/>
    <w:basedOn w:val="a2"/>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9">
    <w:name w:val="页眉 字符"/>
    <w:basedOn w:val="a1"/>
    <w:link w:val="a8"/>
    <w:uiPriority w:val="99"/>
    <w:qFormat/>
    <w:rPr>
      <w:sz w:val="18"/>
      <w:szCs w:val="18"/>
    </w:rPr>
  </w:style>
  <w:style w:type="character" w:customStyle="1" w:styleId="a7">
    <w:name w:val="页脚 字符"/>
    <w:basedOn w:val="a1"/>
    <w:link w:val="a6"/>
    <w:uiPriority w:val="99"/>
    <w:qFormat/>
    <w:rPr>
      <w:sz w:val="18"/>
      <w:szCs w:val="18"/>
    </w:rPr>
  </w:style>
  <w:style w:type="character" w:customStyle="1" w:styleId="a4">
    <w:name w:val="正文文本 字符"/>
    <w:basedOn w:val="a1"/>
    <w:link w:val="a0"/>
    <w:uiPriority w:val="99"/>
    <w:semiHidden/>
    <w:qFormat/>
    <w:rPr>
      <w:rFonts w:ascii="Times New Roman" w:eastAsia="宋体" w:hAnsi="Times New Roman" w:cs="Times New Roman"/>
      <w:szCs w:val="24"/>
    </w:rPr>
  </w:style>
  <w:style w:type="character" w:customStyle="1" w:styleId="ab">
    <w:name w:val="正文文本首行缩进 字符"/>
    <w:basedOn w:val="a4"/>
    <w:link w:val="aa"/>
    <w:qFormat/>
    <w:rPr>
      <w:rFonts w:ascii="Times New Roman" w:eastAsia="宋体" w:hAnsi="Times New Roman" w:cs="Times New Roman"/>
      <w:sz w:val="24"/>
      <w:szCs w:val="21"/>
    </w:rPr>
  </w:style>
  <w:style w:type="character" w:customStyle="1" w:styleId="10">
    <w:name w:val="标题 1 字符"/>
    <w:basedOn w:val="a1"/>
    <w:link w:val="1"/>
    <w:uiPriority w:val="9"/>
    <w:qFormat/>
    <w:rPr>
      <w:rFonts w:ascii="Times New Roman" w:eastAsia="宋体" w:hAnsi="Times New Roman" w:cs="Times New Roman"/>
      <w:b/>
      <w:bCs/>
      <w:kern w:val="44"/>
      <w:sz w:val="44"/>
      <w:szCs w:val="44"/>
    </w:rPr>
  </w:style>
  <w:style w:type="table" w:customStyle="1" w:styleId="TableNormal">
    <w:name w:val="Table Normal"/>
    <w:uiPriority w:val="2"/>
    <w:semiHidden/>
    <w:unhideWhenUsed/>
    <w:qFormat/>
    <w:pPr>
      <w:widowControl w:val="0"/>
    </w:pPr>
    <w:rPr>
      <w:sz w:val="22"/>
      <w:lang w:eastAsia="en-US"/>
    </w:rPr>
    <w:tblPr>
      <w:tblCellMar>
        <w:top w:w="0" w:type="dxa"/>
        <w:left w:w="0" w:type="dxa"/>
        <w:bottom w:w="0" w:type="dxa"/>
        <w:right w:w="0" w:type="dxa"/>
      </w:tblCellMar>
    </w:tblPr>
  </w:style>
  <w:style w:type="paragraph" w:customStyle="1" w:styleId="TableParagraph">
    <w:name w:val="Table Paragraph"/>
    <w:basedOn w:val="a"/>
    <w:uiPriority w:val="1"/>
    <w:qFormat/>
    <w:pPr>
      <w:jc w:val="left"/>
    </w:pPr>
    <w:rPr>
      <w:rFonts w:asciiTheme="minorHAnsi" w:eastAsiaTheme="minorEastAsia" w:hAnsiTheme="minorHAnsi" w:cstheme="minorBidi"/>
      <w:kern w:val="0"/>
      <w:sz w:val="22"/>
      <w:szCs w:val="22"/>
      <w:lang w:eastAsia="en-US"/>
    </w:rPr>
  </w:style>
  <w:style w:type="paragraph" w:styleId="ad">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5</Pages>
  <Words>266</Words>
  <Characters>1517</Characters>
  <Application>Microsoft Office Word</Application>
  <DocSecurity>0</DocSecurity>
  <Lines>12</Lines>
  <Paragraphs>3</Paragraphs>
  <ScaleCrop>false</ScaleCrop>
  <Company/>
  <LinksUpToDate>false</LinksUpToDate>
  <CharactersWithSpaces>1780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黎 蔡</dc:creator>
  <cp:lastModifiedBy>子 欢</cp:lastModifiedBy>
  <cp:revision>91</cp:revision>
  <dcterms:created xsi:type="dcterms:W3CDTF">2024-04-18T06:23:00Z</dcterms:created>
  <dcterms:modified xsi:type="dcterms:W3CDTF">2024-07-11T03:01:00Z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885CE2C960D74AE48B6F87D967AC5F5B_12</vt:lpwstr>
  </property>
</Properties>
</file>