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numPr>
          <w:ilvl w:val="0"/>
          <w:numId w:val="1"/>
        </w:numPr>
        <w:shd w:val="clear"/>
        <w:spacing w:after="0" w:line="360" w:lineRule="auto"/>
        <w:ind w:firstLine="236" w:firstLineChars="98"/>
        <w:rPr>
          <w:rFonts w:ascii="宋体" w:hAnsi="宋体" w:eastAsia="宋体" w:cs="宋体"/>
          <w:sz w:val="24"/>
          <w:szCs w:val="24"/>
        </w:rPr>
      </w:pPr>
      <w:r>
        <w:rPr>
          <w:rFonts w:hint="eastAsia" w:ascii="宋体" w:hAnsi="宋体" w:eastAsia="宋体" w:cs="仿宋"/>
          <w:sz w:val="24"/>
          <w:szCs w:val="24"/>
          <w:lang w:val="en-US" w:eastAsia="zh-CN"/>
        </w:rPr>
        <w:t>采购项目编号：</w:t>
      </w:r>
      <w:r>
        <w:rPr>
          <w:rFonts w:ascii="宋体" w:hAnsi="宋体" w:eastAsia="宋体" w:cs="宋体"/>
          <w:sz w:val="24"/>
          <w:szCs w:val="24"/>
        </w:rPr>
        <w:t>SCFY-YXZB202406-002（比）</w:t>
      </w:r>
    </w:p>
    <w:p>
      <w:pPr>
        <w:pStyle w:val="3"/>
        <w:numPr>
          <w:ilvl w:val="0"/>
          <w:numId w:val="1"/>
        </w:numPr>
        <w:shd w:val="clear"/>
        <w:spacing w:after="0" w:line="360" w:lineRule="auto"/>
        <w:ind w:left="0" w:leftChars="0"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10.4</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Start w:id="1" w:name="_Toc217446095"/>
      <w:r>
        <w:rPr>
          <w:rFonts w:hint="eastAsia" w:ascii="宋体" w:hAnsi="宋体" w:eastAsia="宋体" w:cs="仿宋"/>
          <w:sz w:val="24"/>
          <w:szCs w:val="24"/>
        </w:rPr>
        <w:t>项目清单及技术要求：</w:t>
      </w:r>
    </w:p>
    <w:bookmarkEnd w:id="1"/>
    <w:tbl>
      <w:tblPr>
        <w:tblStyle w:val="12"/>
        <w:tblpPr w:leftFromText="180" w:rightFromText="180" w:vertAnchor="text" w:horzAnchor="page" w:tblpXSpec="center" w:tblpY="1158"/>
        <w:tblOverlap w:val="never"/>
        <w:tblW w:w="51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035"/>
        <w:gridCol w:w="986"/>
        <w:gridCol w:w="126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000" w:type="pct"/>
            <w:gridSpan w:val="5"/>
            <w:noWrap w:val="0"/>
            <w:vAlign w:val="center"/>
          </w:tcPr>
          <w:p>
            <w:pPr>
              <w:jc w:val="left"/>
              <w:rPr>
                <w:rFonts w:hint="default" w:ascii="宋体" w:hAnsi="宋体"/>
                <w:lang w:val="en-US" w:eastAsia="zh-CN"/>
              </w:rPr>
            </w:pPr>
            <w:r>
              <w:rPr>
                <w:rFonts w:hint="eastAsia" w:ascii="宋体" w:hAnsi="宋体"/>
                <w:b/>
                <w:bCs/>
                <w:lang w:val="en-US" w:eastAsia="zh-CN"/>
              </w:rPr>
              <w:t>01包：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 w:type="pct"/>
            <w:noWrap w:val="0"/>
            <w:vAlign w:val="center"/>
          </w:tcPr>
          <w:p>
            <w:pPr>
              <w:autoSpaceDE w:val="0"/>
              <w:autoSpaceDN w:val="0"/>
              <w:jc w:val="center"/>
              <w:rPr>
                <w:rFonts w:hint="eastAsia" w:ascii="宋体" w:hAnsi="宋体"/>
                <w:b/>
                <w:sz w:val="18"/>
                <w:szCs w:val="18"/>
              </w:rPr>
            </w:pPr>
            <w:r>
              <w:rPr>
                <w:rFonts w:hint="eastAsia" w:ascii="宋体" w:hAnsi="宋体"/>
                <w:b/>
                <w:sz w:val="18"/>
                <w:szCs w:val="18"/>
              </w:rPr>
              <w:t>序号</w:t>
            </w:r>
          </w:p>
        </w:tc>
        <w:tc>
          <w:tcPr>
            <w:tcW w:w="502"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78"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lang w:val="en-US" w:eastAsia="zh-CN"/>
              </w:rPr>
              <w:t>预算单价（元）</w:t>
            </w:r>
          </w:p>
        </w:tc>
        <w:tc>
          <w:tcPr>
            <w:tcW w:w="613"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hint="eastAsia" w:ascii="宋体" w:hAnsi="宋体"/>
                <w:b/>
                <w:sz w:val="18"/>
                <w:szCs w:val="18"/>
                <w:lang w:val="en-US" w:eastAsia="zh-CN"/>
              </w:rPr>
            </w:pPr>
            <w:r>
              <w:rPr>
                <w:rFonts w:hint="eastAsia" w:ascii="宋体" w:hAnsi="宋体"/>
                <w:b/>
                <w:sz w:val="18"/>
                <w:szCs w:val="18"/>
                <w:lang w:val="en-US" w:eastAsia="zh-CN"/>
              </w:rPr>
              <w:t>用</w:t>
            </w:r>
            <w:r>
              <w:rPr>
                <w:rFonts w:hint="eastAsia" w:ascii="宋体" w:hAnsi="宋体"/>
                <w:b/>
                <w:sz w:val="18"/>
                <w:szCs w:val="18"/>
              </w:rPr>
              <w:t>量</w:t>
            </w:r>
          </w:p>
        </w:tc>
        <w:tc>
          <w:tcPr>
            <w:tcW w:w="3164"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502" w:type="pct"/>
            <w:noWrap w:val="0"/>
            <w:vAlign w:val="center"/>
          </w:tcPr>
          <w:p>
            <w:pPr>
              <w:keepNext w:val="0"/>
              <w:keepLines w:val="0"/>
              <w:widowControl/>
              <w:suppressLineNumbers w:val="0"/>
              <w:jc w:val="center"/>
              <w:textAlignment w:val="center"/>
              <w:rPr>
                <w:rFonts w:hint="default"/>
                <w:lang w:val="en-US" w:eastAsia="zh-CN"/>
              </w:rPr>
            </w:pPr>
            <w:r>
              <w:rPr>
                <w:rFonts w:hint="default"/>
                <w:lang w:val="en-US" w:eastAsia="zh-CN"/>
              </w:rPr>
              <w:t>压力蒸汽灭菌包内化学指示卡爬行卡</w:t>
            </w:r>
          </w:p>
        </w:tc>
        <w:tc>
          <w:tcPr>
            <w:tcW w:w="47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w:t>
            </w:r>
          </w:p>
        </w:tc>
        <w:tc>
          <w:tcPr>
            <w:tcW w:w="613"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5000片</w:t>
            </w:r>
          </w:p>
        </w:tc>
        <w:tc>
          <w:tcPr>
            <w:tcW w:w="3164" w:type="pct"/>
            <w:noWrap w:val="0"/>
            <w:vAlign w:val="top"/>
          </w:tcPr>
          <w:p>
            <w:pPr>
              <w:rPr>
                <w:rFonts w:hint="default"/>
                <w:lang w:val="en-US" w:eastAsia="zh-CN"/>
              </w:rPr>
            </w:pPr>
            <w:r>
              <w:rPr>
                <w:rFonts w:hint="eastAsia"/>
              </w:rPr>
              <w:t>▲</w:t>
            </w:r>
            <w:r>
              <w:rPr>
                <w:rFonts w:hint="eastAsia"/>
                <w:lang w:val="en-US" w:eastAsia="zh-CN"/>
              </w:rPr>
              <w:t>用途：用于高温灭菌的灭菌效果监测。</w:t>
            </w:r>
          </w:p>
          <w:p>
            <w:pPr>
              <w:pStyle w:val="2"/>
              <w:numPr>
                <w:ilvl w:val="0"/>
                <w:numId w:val="0"/>
              </w:numPr>
              <w:rPr>
                <w:rFonts w:hint="default"/>
                <w:lang w:val="en-US" w:eastAsia="zh-CN"/>
              </w:rPr>
            </w:pPr>
            <w:r>
              <w:rPr>
                <w:rFonts w:hint="eastAsia"/>
                <w:lang w:val="en-US" w:eastAsia="zh-CN"/>
              </w:rPr>
              <w:t>1.产品符合GB18282.1中五类指示物的要求。</w:t>
            </w:r>
          </w:p>
          <w:p>
            <w:pPr>
              <w:numPr>
                <w:ilvl w:val="0"/>
                <w:numId w:val="0"/>
              </w:numPr>
              <w:ind w:leftChars="0"/>
              <w:rPr>
                <w:rFonts w:hint="eastAsia"/>
                <w:lang w:val="en-US" w:eastAsia="zh-CN"/>
              </w:rPr>
            </w:pPr>
            <w:r>
              <w:rPr>
                <w:rFonts w:hint="eastAsia"/>
                <w:lang w:val="en-US" w:eastAsia="zh-CN"/>
              </w:rPr>
              <w:t>2.产品组成：金属载片、指示药片、显色指示条、透气薄膜和阅读标签组成。</w:t>
            </w:r>
          </w:p>
          <w:p>
            <w:pPr>
              <w:pStyle w:val="2"/>
              <w:rPr>
                <w:rFonts w:hint="eastAsia"/>
                <w:lang w:val="en-US" w:eastAsia="zh-CN"/>
              </w:rPr>
            </w:pPr>
            <w:r>
              <w:rPr>
                <w:rFonts w:hint="eastAsia"/>
                <w:lang w:val="en-US" w:eastAsia="zh-CN"/>
              </w:rPr>
              <w:t>3.合格:爬行卡上的黑色指示物爬行到灭菌合格区，表示灭菌主要参数均达到要求。</w:t>
            </w:r>
          </w:p>
          <w:p>
            <w:pPr>
              <w:rPr>
                <w:rFonts w:hint="default"/>
                <w:lang w:val="en-US" w:eastAsia="zh-CN"/>
              </w:rPr>
            </w:pPr>
            <w:r>
              <w:rPr>
                <w:rFonts w:hint="eastAsia"/>
                <w:lang w:val="en-US" w:eastAsia="zh-CN"/>
              </w:rPr>
              <w:t>4.不合格:爬行卡上的黑色指示物未爬行到灭菌合格区，表示灭菌主要参数中至少有一个没达到要求。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240"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2</w:t>
            </w:r>
          </w:p>
        </w:tc>
        <w:tc>
          <w:tcPr>
            <w:tcW w:w="502" w:type="pct"/>
            <w:noWrap w:val="0"/>
            <w:vAlign w:val="center"/>
          </w:tcPr>
          <w:p>
            <w:pPr>
              <w:keepNext w:val="0"/>
              <w:keepLines w:val="0"/>
              <w:widowControl/>
              <w:suppressLineNumbers w:val="0"/>
              <w:jc w:val="center"/>
              <w:textAlignment w:val="center"/>
              <w:rPr>
                <w:rFonts w:hint="default" w:ascii="宋体" w:hAnsi="宋体" w:eastAsia="宋体"/>
                <w:lang w:val="en-US" w:eastAsia="zh-CN"/>
              </w:rPr>
            </w:pPr>
            <w:r>
              <w:rPr>
                <w:rFonts w:hint="default" w:ascii="宋体" w:hAnsi="宋体" w:eastAsia="宋体"/>
                <w:lang w:val="en-US" w:eastAsia="zh-CN"/>
              </w:rPr>
              <w:t>压力蒸汽灭菌化学指示胶带</w:t>
            </w:r>
          </w:p>
        </w:tc>
        <w:tc>
          <w:tcPr>
            <w:tcW w:w="47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70</w:t>
            </w:r>
          </w:p>
        </w:tc>
        <w:tc>
          <w:tcPr>
            <w:tcW w:w="613"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500卷</w:t>
            </w:r>
          </w:p>
        </w:tc>
        <w:tc>
          <w:tcPr>
            <w:tcW w:w="3164" w:type="pct"/>
            <w:noWrap w:val="0"/>
            <w:vAlign w:val="top"/>
          </w:tcPr>
          <w:p>
            <w:pPr>
              <w:rPr>
                <w:rFonts w:hint="default"/>
                <w:lang w:val="en-US" w:eastAsia="zh-CN"/>
              </w:rPr>
            </w:pPr>
            <w:r>
              <w:rPr>
                <w:rFonts w:hint="eastAsia"/>
              </w:rPr>
              <w:t>▲</w:t>
            </w:r>
            <w:r>
              <w:rPr>
                <w:rFonts w:hint="eastAsia"/>
                <w:lang w:val="en-US" w:eastAsia="zh-CN"/>
              </w:rPr>
              <w:t>用途：用于指示物品是否经过灭菌过程处理。</w:t>
            </w:r>
          </w:p>
          <w:p>
            <w:pPr>
              <w:pStyle w:val="2"/>
              <w:numPr>
                <w:ilvl w:val="0"/>
                <w:numId w:val="0"/>
              </w:num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1.变色说明：如果指示剂颜色变成黑色，表明此包裹已经过灭菌处理;如果指示剂颜色无变化，则表明此包裹没有经过灭菌处理。。</w:t>
            </w:r>
          </w:p>
          <w:p>
            <w:pPr>
              <w:pStyle w:val="2"/>
              <w:numPr>
                <w:ilvl w:val="0"/>
                <w:numId w:val="0"/>
              </w:numPr>
              <w:ind w:left="0" w:leftChars="0" w:firstLine="0" w:firstLineChars="0"/>
              <w:rPr>
                <w:rFonts w:hint="default"/>
                <w:lang w:val="en-US" w:eastAsia="zh-CN"/>
              </w:rPr>
            </w:pPr>
            <w:r>
              <w:rPr>
                <w:rFonts w:hint="eastAsia" w:ascii="Times New Roman" w:hAnsi="Times New Roman" w:eastAsia="宋体" w:cs="Times New Roman"/>
                <w:kern w:val="2"/>
                <w:sz w:val="21"/>
                <w:szCs w:val="21"/>
                <w:lang w:val="en-US" w:eastAsia="zh-CN" w:bidi="ar-SA"/>
              </w:rPr>
              <w:t>2.规格：宽度≥19mm；长度≥50m。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240"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3</w:t>
            </w:r>
          </w:p>
        </w:tc>
        <w:tc>
          <w:tcPr>
            <w:tcW w:w="502" w:type="pct"/>
            <w:noWrap w:val="0"/>
            <w:vAlign w:val="center"/>
          </w:tcPr>
          <w:p>
            <w:pPr>
              <w:keepNext w:val="0"/>
              <w:keepLines w:val="0"/>
              <w:widowControl/>
              <w:suppressLineNumbers w:val="0"/>
              <w:jc w:val="center"/>
              <w:textAlignment w:val="center"/>
              <w:rPr>
                <w:rFonts w:hint="default" w:ascii="宋体" w:hAnsi="宋体" w:eastAsia="宋体"/>
                <w:lang w:val="en-US" w:eastAsia="zh-CN"/>
              </w:rPr>
            </w:pPr>
            <w:r>
              <w:rPr>
                <w:rFonts w:hint="default" w:ascii="宋体" w:hAnsi="宋体" w:eastAsia="宋体"/>
                <w:lang w:val="en-US" w:eastAsia="zh-CN"/>
              </w:rPr>
              <w:t>口腔印模材料清洗剂</w:t>
            </w:r>
          </w:p>
        </w:tc>
        <w:tc>
          <w:tcPr>
            <w:tcW w:w="47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100</w:t>
            </w:r>
          </w:p>
        </w:tc>
        <w:tc>
          <w:tcPr>
            <w:tcW w:w="613"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20瓶</w:t>
            </w:r>
          </w:p>
        </w:tc>
        <w:tc>
          <w:tcPr>
            <w:tcW w:w="3164" w:type="pct"/>
            <w:noWrap w:val="0"/>
            <w:vAlign w:val="top"/>
          </w:tcPr>
          <w:p>
            <w:pPr>
              <w:rPr>
                <w:rFonts w:hint="default"/>
                <w:lang w:val="en-US" w:eastAsia="zh-CN"/>
              </w:rPr>
            </w:pPr>
            <w:r>
              <w:rPr>
                <w:rFonts w:hint="eastAsia"/>
              </w:rPr>
              <w:t>▲</w:t>
            </w:r>
            <w:r>
              <w:rPr>
                <w:rFonts w:hint="eastAsia"/>
                <w:lang w:val="en-US" w:eastAsia="zh-CN"/>
              </w:rPr>
              <w:t>用途：用于清除牙科托盘上难以剥离的藻酸盐印模材料。</w:t>
            </w:r>
          </w:p>
          <w:p>
            <w:pPr>
              <w:pStyle w:val="2"/>
              <w:numPr>
                <w:ilvl w:val="0"/>
                <w:numId w:val="0"/>
              </w:numPr>
              <w:rPr>
                <w:rFonts w:hint="eastAsia" w:ascii="Times New Roman" w:hAnsi="Times New Roman" w:eastAsia="宋体" w:cs="Times New Roman"/>
                <w:kern w:val="2"/>
                <w:sz w:val="21"/>
                <w:szCs w:val="21"/>
                <w:lang w:val="en-US" w:eastAsia="zh-CN" w:bidi="ar-SA"/>
              </w:rPr>
            </w:pPr>
            <w:r>
              <w:rPr>
                <w:rFonts w:hint="eastAsia"/>
                <w:lang w:val="en-US" w:eastAsia="zh-CN"/>
              </w:rPr>
              <w:t>1.</w:t>
            </w:r>
            <w:r>
              <w:rPr>
                <w:rFonts w:hint="eastAsia" w:ascii="Times New Roman" w:hAnsi="Times New Roman" w:eastAsia="宋体" w:cs="Times New Roman"/>
                <w:kern w:val="2"/>
                <w:sz w:val="21"/>
                <w:szCs w:val="21"/>
                <w:lang w:val="en-US" w:eastAsia="zh-CN" w:bidi="ar-SA"/>
              </w:rPr>
              <w:t>稀释比例1：4。</w:t>
            </w:r>
          </w:p>
          <w:p>
            <w:pPr>
              <w:pStyle w:val="2"/>
              <w:numPr>
                <w:ilvl w:val="0"/>
                <w:numId w:val="0"/>
              </w:numPr>
              <w:ind w:left="0" w:leftChars="0" w:firstLine="0" w:firstLineChars="0"/>
              <w:rPr>
                <w:rFonts w:hint="default"/>
                <w:lang w:val="en-US" w:eastAsia="zh-CN"/>
              </w:rPr>
            </w:pPr>
            <w:r>
              <w:rPr>
                <w:rFonts w:hint="eastAsia"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.PH：5-9。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240"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4</w:t>
            </w:r>
          </w:p>
        </w:tc>
        <w:tc>
          <w:tcPr>
            <w:tcW w:w="502" w:type="pct"/>
            <w:noWrap w:val="0"/>
            <w:vAlign w:val="center"/>
          </w:tcPr>
          <w:p>
            <w:pPr>
              <w:keepNext w:val="0"/>
              <w:keepLines w:val="0"/>
              <w:widowControl/>
              <w:suppressLineNumbers w:val="0"/>
              <w:jc w:val="center"/>
              <w:textAlignment w:val="center"/>
              <w:rPr>
                <w:rFonts w:hint="default" w:ascii="宋体" w:hAnsi="宋体" w:eastAsia="宋体" w:cs="Times New Roman"/>
                <w:kern w:val="2"/>
                <w:sz w:val="21"/>
                <w:szCs w:val="21"/>
                <w:lang w:val="en-US" w:eastAsia="zh-CN" w:bidi="ar-SA"/>
              </w:rPr>
            </w:pPr>
            <w:r>
              <w:rPr>
                <w:rFonts w:hint="default" w:ascii="宋体" w:hAnsi="宋体" w:eastAsia="宋体"/>
                <w:lang w:val="en-US" w:eastAsia="zh-CN"/>
              </w:rPr>
              <w:t>压力蒸汽灭菌生物培养指示剂</w:t>
            </w:r>
          </w:p>
        </w:tc>
        <w:tc>
          <w:tcPr>
            <w:tcW w:w="478" w:type="pct"/>
            <w:noWrap w:val="0"/>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w:t>
            </w:r>
          </w:p>
        </w:tc>
        <w:tc>
          <w:tcPr>
            <w:tcW w:w="613" w:type="pct"/>
            <w:noWrap w:val="0"/>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100盒</w:t>
            </w:r>
          </w:p>
        </w:tc>
        <w:tc>
          <w:tcPr>
            <w:tcW w:w="3164" w:type="pct"/>
            <w:noWrap w:val="0"/>
            <w:vAlign w:val="center"/>
          </w:tcPr>
          <w:p>
            <w:pPr>
              <w:jc w:val="both"/>
              <w:rPr>
                <w:rFonts w:hint="eastAsia"/>
                <w:lang w:val="en-US" w:eastAsia="zh-CN"/>
              </w:rPr>
            </w:pPr>
            <w:r>
              <w:rPr>
                <w:rFonts w:hint="eastAsia"/>
              </w:rPr>
              <w:t>▲</w:t>
            </w:r>
            <w:r>
              <w:rPr>
                <w:rFonts w:hint="eastAsia"/>
                <w:lang w:val="en-US" w:eastAsia="zh-CN"/>
              </w:rPr>
              <w:t>用途：用于高压灭菌器月度生物监测。</w:t>
            </w:r>
          </w:p>
          <w:p>
            <w:pPr>
              <w:pStyle w:val="2"/>
              <w:numPr>
                <w:ilvl w:val="0"/>
                <w:numId w:val="2"/>
              </w:num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菌种为嗜热脂肪杆菌芽孢。</w:t>
            </w:r>
          </w:p>
          <w:p>
            <w:pPr>
              <w:numPr>
                <w:ilvl w:val="0"/>
                <w:numId w:val="2"/>
              </w:numPr>
              <w:rPr>
                <w:rFonts w:hint="default"/>
                <w:lang w:val="en-US" w:eastAsia="zh-CN"/>
              </w:rPr>
            </w:pPr>
            <w:r>
              <w:rPr>
                <w:rFonts w:hint="eastAsia" w:ascii="Times New Roman" w:hAnsi="Times New Roman" w:eastAsia="宋体" w:cs="Times New Roman"/>
                <w:kern w:val="2"/>
                <w:sz w:val="21"/>
                <w:szCs w:val="21"/>
                <w:lang w:val="en-US" w:eastAsia="zh-CN" w:bidi="ar-SA"/>
              </w:rPr>
              <w:t>菌落数：单片菌落数为</w:t>
            </w:r>
            <w:r>
              <w:rPr>
                <w:rFonts w:hint="eastAsia"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w:t>
            </w:r>
            <w:r>
              <w:rPr>
                <w:rFonts w:hint="eastAsia" w:cs="Times New Roman"/>
                <w:kern w:val="2"/>
                <w:sz w:val="21"/>
                <w:szCs w:val="21"/>
                <w:lang w:val="en-US" w:eastAsia="zh-CN" w:bidi="ar-SA"/>
              </w:rPr>
              <w:t>10^5</w:t>
            </w:r>
            <w:r>
              <w:rPr>
                <w:rFonts w:hint="eastAsia" w:ascii="Times New Roman" w:hAnsi="Times New Roman" w:eastAsia="宋体" w:cs="Times New Roman"/>
                <w:kern w:val="2"/>
                <w:sz w:val="21"/>
                <w:szCs w:val="21"/>
                <w:lang w:val="en-US" w:eastAsia="zh-CN" w:bidi="ar-SA"/>
              </w:rPr>
              <w:t>cfu</w:t>
            </w:r>
            <w:r>
              <w:rPr>
                <w:rFonts w:hint="eastAsia" w:cs="Times New Roman"/>
                <w:kern w:val="2"/>
                <w:sz w:val="21"/>
                <w:szCs w:val="21"/>
                <w:lang w:val="en-US" w:eastAsia="zh-CN" w:bidi="ar-SA"/>
              </w:rPr>
              <w:t>—5</w:t>
            </w:r>
            <w:r>
              <w:rPr>
                <w:rFonts w:hint="eastAsia" w:ascii="Times New Roman" w:hAnsi="Times New Roman" w:eastAsia="宋体" w:cs="Times New Roman"/>
                <w:kern w:val="2"/>
                <w:sz w:val="21"/>
                <w:szCs w:val="21"/>
                <w:lang w:val="en-US" w:eastAsia="zh-CN" w:bidi="ar-SA"/>
              </w:rPr>
              <w:t>×</w:t>
            </w:r>
            <w:r>
              <w:rPr>
                <w:rFonts w:hint="eastAsia" w:cs="Times New Roman"/>
                <w:kern w:val="2"/>
                <w:sz w:val="21"/>
                <w:szCs w:val="21"/>
                <w:lang w:val="en-US" w:eastAsia="zh-CN" w:bidi="ar-SA"/>
              </w:rPr>
              <w:t>10^6</w:t>
            </w:r>
            <w:r>
              <w:rPr>
                <w:rFonts w:hint="eastAsia" w:ascii="Times New Roman" w:hAnsi="Times New Roman" w:eastAsia="宋体" w:cs="Times New Roman"/>
                <w:kern w:val="2"/>
                <w:sz w:val="21"/>
                <w:szCs w:val="21"/>
                <w:lang w:val="en-US" w:eastAsia="zh-CN" w:bidi="ar-SA"/>
              </w:rPr>
              <w:t>cfu。</w:t>
            </w:r>
          </w:p>
          <w:p>
            <w:pPr>
              <w:numPr>
                <w:ilvl w:val="0"/>
                <w:numId w:val="2"/>
              </w:numPr>
              <w:ind w:left="0" w:leftChars="0" w:firstLine="0" w:firstLineChars="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培养时间≤48h</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000" w:type="pct"/>
            <w:gridSpan w:val="5"/>
            <w:noWrap w:val="0"/>
            <w:vAlign w:val="center"/>
          </w:tcPr>
          <w:p>
            <w:pPr>
              <w:numPr>
                <w:ilvl w:val="0"/>
                <w:numId w:val="0"/>
              </w:numPr>
              <w:ind w:leftChars="0"/>
              <w:rPr>
                <w:rFonts w:hint="default" w:cs="Times New Roman"/>
                <w:kern w:val="2"/>
                <w:sz w:val="21"/>
                <w:szCs w:val="21"/>
                <w:lang w:val="en-US" w:eastAsia="zh-CN" w:bidi="ar-SA"/>
              </w:rPr>
            </w:pPr>
            <w:r>
              <w:rPr>
                <w:rFonts w:hint="eastAsia" w:cs="Times New Roman"/>
                <w:b/>
                <w:bCs/>
                <w:kern w:val="2"/>
                <w:sz w:val="21"/>
                <w:szCs w:val="21"/>
                <w:lang w:val="en-US" w:eastAsia="zh-CN" w:bidi="ar-SA"/>
              </w:rPr>
              <w:t>02包：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40" w:type="pct"/>
            <w:noWrap w:val="0"/>
            <w:vAlign w:val="center"/>
          </w:tcPr>
          <w:p>
            <w:pPr>
              <w:autoSpaceDE w:val="0"/>
              <w:autoSpaceDN w:val="0"/>
              <w:jc w:val="center"/>
              <w:rPr>
                <w:rFonts w:hint="default" w:ascii="宋体" w:hAnsi="宋体" w:eastAsia="宋体" w:cs="Times New Roman"/>
                <w:b/>
                <w:kern w:val="2"/>
                <w:sz w:val="18"/>
                <w:szCs w:val="18"/>
                <w:lang w:val="en-US" w:eastAsia="zh-CN" w:bidi="ar-SA"/>
              </w:rPr>
            </w:pPr>
            <w:r>
              <w:rPr>
                <w:rFonts w:hint="eastAsia" w:ascii="宋体" w:hAnsi="宋体"/>
                <w:b/>
                <w:sz w:val="18"/>
                <w:szCs w:val="18"/>
              </w:rPr>
              <w:t>序号</w:t>
            </w:r>
          </w:p>
        </w:tc>
        <w:tc>
          <w:tcPr>
            <w:tcW w:w="502" w:type="pct"/>
            <w:noWrap w:val="0"/>
            <w:vAlign w:val="center"/>
          </w:tcPr>
          <w:p>
            <w:pPr>
              <w:autoSpaceDE w:val="0"/>
              <w:autoSpaceDN w:val="0"/>
              <w:jc w:val="center"/>
              <w:rPr>
                <w:rFonts w:hint="default" w:ascii="宋体" w:hAnsi="宋体" w:eastAsia="宋体" w:cs="Times New Roman"/>
                <w:b/>
                <w:kern w:val="2"/>
                <w:sz w:val="18"/>
                <w:szCs w:val="18"/>
                <w:lang w:val="en-US" w:eastAsia="zh-CN" w:bidi="ar-SA"/>
              </w:rPr>
            </w:pPr>
            <w:r>
              <w:rPr>
                <w:rFonts w:ascii="宋体" w:hAnsi="宋体"/>
                <w:b/>
                <w:sz w:val="18"/>
                <w:szCs w:val="18"/>
              </w:rPr>
              <w:t>产品名称</w:t>
            </w:r>
          </w:p>
        </w:tc>
        <w:tc>
          <w:tcPr>
            <w:tcW w:w="478" w:type="pct"/>
            <w:noWrap w:val="0"/>
            <w:vAlign w:val="center"/>
          </w:tcPr>
          <w:p>
            <w:pPr>
              <w:autoSpaceDE w:val="0"/>
              <w:autoSpaceDN w:val="0"/>
              <w:jc w:val="center"/>
              <w:rPr>
                <w:rFonts w:hint="default" w:ascii="宋体" w:hAnsi="宋体" w:eastAsia="宋体" w:cs="Times New Roman"/>
                <w:b/>
                <w:kern w:val="2"/>
                <w:sz w:val="18"/>
                <w:szCs w:val="18"/>
                <w:lang w:val="en-US" w:eastAsia="zh-CN" w:bidi="ar-SA"/>
              </w:rPr>
            </w:pPr>
            <w:r>
              <w:rPr>
                <w:rFonts w:hint="eastAsia" w:ascii="宋体" w:hAnsi="宋体"/>
                <w:b/>
                <w:sz w:val="18"/>
                <w:szCs w:val="18"/>
                <w:lang w:val="en-US" w:eastAsia="zh-CN"/>
              </w:rPr>
              <w:t>预算单价（元）</w:t>
            </w:r>
          </w:p>
        </w:tc>
        <w:tc>
          <w:tcPr>
            <w:tcW w:w="613"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hint="default" w:ascii="宋体" w:hAnsi="宋体" w:eastAsia="宋体" w:cs="Times New Roman"/>
                <w:b/>
                <w:kern w:val="2"/>
                <w:sz w:val="18"/>
                <w:szCs w:val="18"/>
                <w:lang w:val="en-US" w:eastAsia="zh-CN" w:bidi="ar-SA"/>
              </w:rPr>
            </w:pPr>
            <w:r>
              <w:rPr>
                <w:rFonts w:hint="eastAsia" w:ascii="宋体" w:hAnsi="宋体"/>
                <w:b/>
                <w:sz w:val="18"/>
                <w:szCs w:val="18"/>
                <w:lang w:val="en-US" w:eastAsia="zh-CN"/>
              </w:rPr>
              <w:t>用</w:t>
            </w:r>
            <w:r>
              <w:rPr>
                <w:rFonts w:hint="eastAsia" w:ascii="宋体" w:hAnsi="宋体"/>
                <w:b/>
                <w:sz w:val="18"/>
                <w:szCs w:val="18"/>
              </w:rPr>
              <w:t>量</w:t>
            </w:r>
          </w:p>
        </w:tc>
        <w:tc>
          <w:tcPr>
            <w:tcW w:w="3164" w:type="pct"/>
            <w:noWrap w:val="0"/>
            <w:vAlign w:val="center"/>
          </w:tcPr>
          <w:p>
            <w:pPr>
              <w:autoSpaceDE w:val="0"/>
              <w:autoSpaceDN w:val="0"/>
              <w:jc w:val="center"/>
              <w:rPr>
                <w:rFonts w:hint="eastAsia" w:ascii="宋体" w:hAnsi="宋体" w:eastAsia="宋体" w:cs="Times New Roman"/>
                <w:b/>
                <w:kern w:val="2"/>
                <w:sz w:val="18"/>
                <w:szCs w:val="18"/>
                <w:lang w:val="en-US" w:eastAsia="zh-CN" w:bidi="ar-SA"/>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240" w:type="pct"/>
            <w:noWrap w:val="0"/>
            <w:vAlign w:val="center"/>
          </w:tcPr>
          <w:p>
            <w:pPr>
              <w:autoSpaceDE w:val="0"/>
              <w:autoSpaceDN w:val="0"/>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1</w:t>
            </w:r>
          </w:p>
        </w:tc>
        <w:tc>
          <w:tcPr>
            <w:tcW w:w="502" w:type="pct"/>
            <w:noWrap w:val="0"/>
            <w:vAlign w:val="center"/>
          </w:tcPr>
          <w:p>
            <w:pPr>
              <w:keepNext w:val="0"/>
              <w:keepLines w:val="0"/>
              <w:widowControl/>
              <w:suppressLineNumbers w:val="0"/>
              <w:jc w:val="center"/>
              <w:textAlignment w:val="center"/>
              <w:rPr>
                <w:rFonts w:hint="default" w:ascii="宋体" w:hAnsi="宋体" w:eastAsia="宋体" w:cs="Times New Roman"/>
                <w:kern w:val="2"/>
                <w:sz w:val="21"/>
                <w:szCs w:val="21"/>
                <w:lang w:val="en-US" w:eastAsia="zh-CN" w:bidi="ar-SA"/>
              </w:rPr>
            </w:pPr>
            <w:r>
              <w:rPr>
                <w:rFonts w:hint="default" w:ascii="宋体" w:hAnsi="宋体" w:eastAsia="宋体"/>
                <w:lang w:val="en-US" w:eastAsia="zh-CN"/>
              </w:rPr>
              <w:t>低温灭菌急速生物指示剂</w:t>
            </w:r>
          </w:p>
        </w:tc>
        <w:tc>
          <w:tcPr>
            <w:tcW w:w="478" w:type="pct"/>
            <w:noWrap w:val="0"/>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60</w:t>
            </w:r>
          </w:p>
        </w:tc>
        <w:tc>
          <w:tcPr>
            <w:tcW w:w="613" w:type="pct"/>
            <w:noWrap w:val="0"/>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500支</w:t>
            </w:r>
          </w:p>
        </w:tc>
        <w:tc>
          <w:tcPr>
            <w:tcW w:w="3164" w:type="pct"/>
            <w:noWrap w:val="0"/>
            <w:vAlign w:val="top"/>
          </w:tcPr>
          <w:p>
            <w:pPr>
              <w:rPr>
                <w:rFonts w:hint="default"/>
                <w:lang w:val="en-US" w:eastAsia="zh-CN"/>
              </w:rPr>
            </w:pPr>
            <w:r>
              <w:rPr>
                <w:rFonts w:hint="eastAsia"/>
              </w:rPr>
              <w:t>▲</w:t>
            </w:r>
            <w:r>
              <w:rPr>
                <w:rFonts w:hint="eastAsia"/>
                <w:lang w:val="en-US" w:eastAsia="zh-CN"/>
              </w:rPr>
              <w:t>适配于我院现有急速生物阅读器（品牌：新华，型号：JS-0103）。1. 用途：用于检测压力蒸汽灭菌是否合格。</w:t>
            </w:r>
          </w:p>
          <w:p>
            <w:pPr>
              <w:pStyle w:val="2"/>
              <w:numPr>
                <w:ilvl w:val="0"/>
                <w:numId w:val="3"/>
              </w:numPr>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菌种为嗜热脂肪杆菌芽孢。</w:t>
            </w:r>
          </w:p>
          <w:p>
            <w:pPr>
              <w:numPr>
                <w:ilvl w:val="0"/>
                <w:numId w:val="3"/>
              </w:numPr>
              <w:spacing w:line="240" w:lineRule="auto"/>
              <w:ind w:left="0" w:leftChars="0"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菌落数：单片菌落数为4.74×</w:t>
            </w:r>
            <w:r>
              <w:rPr>
                <w:rFonts w:hint="eastAsia" w:cs="Times New Roman"/>
                <w:kern w:val="2"/>
                <w:sz w:val="21"/>
                <w:szCs w:val="21"/>
                <w:lang w:val="en-US" w:eastAsia="zh-CN" w:bidi="ar-SA"/>
              </w:rPr>
              <w:t>10^6</w:t>
            </w:r>
            <w:r>
              <w:rPr>
                <w:rFonts w:hint="eastAsia" w:ascii="Times New Roman" w:hAnsi="Times New Roman" w:eastAsia="宋体" w:cs="Times New Roman"/>
                <w:kern w:val="2"/>
                <w:sz w:val="21"/>
                <w:szCs w:val="21"/>
                <w:lang w:val="en-US" w:eastAsia="zh-CN" w:bidi="ar-SA"/>
              </w:rPr>
              <w:t>cfu。</w:t>
            </w:r>
          </w:p>
          <w:p>
            <w:pPr>
              <w:numPr>
                <w:ilvl w:val="0"/>
                <w:numId w:val="0"/>
              </w:numPr>
              <w:ind w:left="0" w:leftChars="0" w:firstLine="0" w:firstLineChars="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4.培养结果所需时间：</w:t>
            </w:r>
            <w:r>
              <w:rPr>
                <w:rFonts w:hint="eastAsia" w:ascii="宋体" w:hAnsi="宋体" w:eastAsia="宋体" w:cs="宋体"/>
                <w:kern w:val="2"/>
                <w:sz w:val="21"/>
                <w:szCs w:val="21"/>
                <w:lang w:val="en-US" w:eastAsia="zh-CN" w:bidi="ar-SA"/>
              </w:rPr>
              <w:t>≤</w:t>
            </w:r>
            <w:r>
              <w:rPr>
                <w:rFonts w:hint="eastAsia" w:cs="Times New Roman"/>
                <w:kern w:val="2"/>
                <w:sz w:val="21"/>
                <w:szCs w:val="21"/>
                <w:lang w:val="en-US" w:eastAsia="zh-CN" w:bidi="ar-SA"/>
              </w:rPr>
              <w:t>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240" w:type="pct"/>
            <w:noWrap w:val="0"/>
            <w:vAlign w:val="center"/>
          </w:tcPr>
          <w:p>
            <w:pPr>
              <w:autoSpaceDE w:val="0"/>
              <w:autoSpaceDN w:val="0"/>
              <w:jc w:val="center"/>
              <w:rPr>
                <w:rFonts w:hint="default" w:ascii="宋体" w:hAnsi="宋体"/>
                <w:sz w:val="21"/>
                <w:szCs w:val="21"/>
                <w:lang w:val="en-US" w:eastAsia="zh-CN"/>
              </w:rPr>
            </w:pPr>
            <w:r>
              <w:rPr>
                <w:rFonts w:hint="eastAsia" w:ascii="宋体" w:hAnsi="宋体"/>
                <w:sz w:val="21"/>
                <w:szCs w:val="21"/>
                <w:lang w:val="en-US" w:eastAsia="zh-CN"/>
              </w:rPr>
              <w:t>2</w:t>
            </w:r>
          </w:p>
        </w:tc>
        <w:tc>
          <w:tcPr>
            <w:tcW w:w="502" w:type="pct"/>
            <w:noWrap w:val="0"/>
            <w:vAlign w:val="center"/>
          </w:tcPr>
          <w:p>
            <w:pPr>
              <w:keepNext w:val="0"/>
              <w:keepLines w:val="0"/>
              <w:widowControl/>
              <w:suppressLineNumbers w:val="0"/>
              <w:jc w:val="center"/>
              <w:textAlignment w:val="center"/>
              <w:rPr>
                <w:rFonts w:hint="default" w:ascii="宋体" w:hAnsi="宋体" w:eastAsia="宋体"/>
                <w:lang w:val="en-US" w:eastAsia="zh-CN"/>
              </w:rPr>
            </w:pPr>
            <w:r>
              <w:rPr>
                <w:rFonts w:hint="default" w:ascii="宋体" w:hAnsi="宋体" w:eastAsia="宋体"/>
                <w:lang w:val="en-US" w:eastAsia="zh-CN"/>
              </w:rPr>
              <w:t>高温灭菌急速生物指示剂</w:t>
            </w:r>
          </w:p>
        </w:tc>
        <w:tc>
          <w:tcPr>
            <w:tcW w:w="47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50</w:t>
            </w:r>
          </w:p>
        </w:tc>
        <w:tc>
          <w:tcPr>
            <w:tcW w:w="613"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500支</w:t>
            </w:r>
          </w:p>
        </w:tc>
        <w:tc>
          <w:tcPr>
            <w:tcW w:w="3164" w:type="pct"/>
            <w:noWrap w:val="0"/>
            <w:vAlign w:val="top"/>
          </w:tcPr>
          <w:p>
            <w:pPr>
              <w:rPr>
                <w:rFonts w:hint="default"/>
                <w:lang w:val="en-US" w:eastAsia="zh-CN"/>
              </w:rPr>
            </w:pPr>
            <w:r>
              <w:rPr>
                <w:rFonts w:hint="eastAsia"/>
              </w:rPr>
              <w:t>▲适配于我院现有急速生物阅读器（品牌：新华，型号：JS-0102-S）</w:t>
            </w:r>
            <w:r>
              <w:rPr>
                <w:rFonts w:hint="eastAsia"/>
                <w:lang w:eastAsia="zh-CN"/>
              </w:rPr>
              <w:t>。</w:t>
            </w:r>
          </w:p>
          <w:p>
            <w:pPr>
              <w:pStyle w:val="2"/>
              <w:numPr>
                <w:ilvl w:val="0"/>
                <w:numId w:val="0"/>
              </w:numPr>
              <w:rPr>
                <w:rFonts w:hint="default"/>
                <w:lang w:val="en-US" w:eastAsia="zh-CN"/>
              </w:rPr>
            </w:pPr>
            <w:r>
              <w:rPr>
                <w:rFonts w:hint="eastAsia"/>
                <w:lang w:val="en-US" w:eastAsia="zh-CN"/>
              </w:rPr>
              <w:t>1.用途：用于过氧化氢低温等离子灭菌效果监测。。</w:t>
            </w:r>
          </w:p>
          <w:p>
            <w:pPr>
              <w:pStyle w:val="2"/>
              <w:numPr>
                <w:ilvl w:val="0"/>
                <w:numId w:val="0"/>
              </w:numPr>
              <w:spacing w:line="240" w:lineRule="auto"/>
              <w:rPr>
                <w:rFonts w:hint="eastAsia" w:ascii="Times New Roman" w:hAnsi="Times New Roman" w:eastAsia="宋体" w:cs="Times New Roman"/>
                <w:kern w:val="2"/>
                <w:sz w:val="21"/>
                <w:szCs w:val="21"/>
                <w:lang w:val="en-US" w:eastAsia="zh-CN" w:bidi="ar-SA"/>
              </w:rPr>
            </w:pPr>
            <w:r>
              <w:rPr>
                <w:rFonts w:hint="eastAsia"/>
                <w:lang w:val="en-US" w:eastAsia="zh-CN"/>
              </w:rPr>
              <w:t>2.</w:t>
            </w:r>
            <w:r>
              <w:rPr>
                <w:rFonts w:hint="eastAsia" w:ascii="Times New Roman" w:hAnsi="Times New Roman" w:eastAsia="宋体" w:cs="Times New Roman"/>
                <w:kern w:val="2"/>
                <w:sz w:val="21"/>
                <w:szCs w:val="21"/>
                <w:lang w:val="en-US" w:eastAsia="zh-CN" w:bidi="ar-SA"/>
              </w:rPr>
              <w:t>菌种为嗜热脂肪杆菌芽孢。</w:t>
            </w:r>
          </w:p>
          <w:p>
            <w:pPr>
              <w:numPr>
                <w:ilvl w:val="0"/>
                <w:numId w:val="0"/>
              </w:numPr>
              <w:spacing w:line="240" w:lineRule="auto"/>
              <w:ind w:leftChars="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菌落数：单片菌落数为</w:t>
            </w:r>
            <w:r>
              <w:rPr>
                <w:rFonts w:hint="eastAsia" w:cs="Times New Roman"/>
                <w:kern w:val="2"/>
                <w:sz w:val="21"/>
                <w:szCs w:val="21"/>
                <w:lang w:val="en-US" w:eastAsia="zh-CN" w:bidi="ar-SA"/>
              </w:rPr>
              <w:t>5.25</w:t>
            </w:r>
            <w:r>
              <w:rPr>
                <w:rFonts w:hint="eastAsia" w:ascii="Times New Roman" w:hAnsi="Times New Roman" w:eastAsia="宋体" w:cs="Times New Roman"/>
                <w:kern w:val="2"/>
                <w:sz w:val="21"/>
                <w:szCs w:val="21"/>
                <w:lang w:val="en-US" w:eastAsia="zh-CN" w:bidi="ar-SA"/>
              </w:rPr>
              <w:t>×</w:t>
            </w:r>
            <w:r>
              <w:rPr>
                <w:rFonts w:hint="eastAsia" w:cs="Times New Roman"/>
                <w:kern w:val="2"/>
                <w:sz w:val="21"/>
                <w:szCs w:val="21"/>
                <w:lang w:val="en-US" w:eastAsia="zh-CN" w:bidi="ar-SA"/>
              </w:rPr>
              <w:t>10^6</w:t>
            </w:r>
            <w:r>
              <w:rPr>
                <w:rFonts w:hint="eastAsia" w:ascii="Times New Roman" w:hAnsi="Times New Roman" w:eastAsia="宋体" w:cs="Times New Roman"/>
                <w:kern w:val="2"/>
                <w:sz w:val="21"/>
                <w:szCs w:val="21"/>
                <w:lang w:val="en-US" w:eastAsia="zh-CN" w:bidi="ar-SA"/>
              </w:rPr>
              <w:t>cfu。</w:t>
            </w:r>
          </w:p>
          <w:p>
            <w:pPr>
              <w:pStyle w:val="2"/>
              <w:numPr>
                <w:ilvl w:val="0"/>
                <w:numId w:val="0"/>
              </w:numPr>
              <w:ind w:leftChars="0"/>
              <w:rPr>
                <w:rFonts w:hint="default"/>
                <w:lang w:val="en-US" w:eastAsia="zh-CN"/>
              </w:rPr>
            </w:pPr>
            <w:r>
              <w:rPr>
                <w:rFonts w:hint="eastAsia" w:cs="Times New Roman"/>
                <w:kern w:val="2"/>
                <w:sz w:val="21"/>
                <w:szCs w:val="21"/>
                <w:lang w:val="en-US" w:eastAsia="zh-CN" w:bidi="ar-SA"/>
              </w:rPr>
              <w:t>4.培养结果所需时间：</w:t>
            </w:r>
            <w:r>
              <w:rPr>
                <w:rFonts w:hint="eastAsia" w:ascii="宋体" w:hAnsi="宋体" w:eastAsia="宋体" w:cs="宋体"/>
                <w:kern w:val="2"/>
                <w:sz w:val="21"/>
                <w:szCs w:val="21"/>
                <w:lang w:val="en-US" w:eastAsia="zh-CN" w:bidi="ar-SA"/>
              </w:rPr>
              <w:t>≤</w:t>
            </w:r>
            <w:r>
              <w:rPr>
                <w:rFonts w:hint="eastAsia" w:cs="Times New Roman"/>
                <w:kern w:val="2"/>
                <w:sz w:val="21"/>
                <w:szCs w:val="21"/>
                <w:lang w:val="en-US" w:eastAsia="zh-CN" w:bidi="ar-SA"/>
              </w:rPr>
              <w:t>1h。</w:t>
            </w:r>
          </w:p>
        </w:tc>
      </w:tr>
      <w:bookmarkEnd w:id="0"/>
    </w:tbl>
    <w:p>
      <w:pPr>
        <w:pStyle w:val="3"/>
        <w:shd w:val="clear"/>
        <w:spacing w:after="0" w:line="360" w:lineRule="auto"/>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、服务和商务要求</w:t>
      </w:r>
    </w:p>
    <w:p>
      <w:pPr>
        <w:pStyle w:val="2"/>
        <w:rPr>
          <w:rFonts w:hint="eastAsia" w:asciiTheme="minorEastAsia" w:hAnsiTheme="minorEastAsia" w:eastAsiaTheme="minorEastAsia" w:cstheme="minorEastAsia"/>
          <w:sz w:val="21"/>
          <w:szCs w:val="21"/>
        </w:rPr>
      </w:pPr>
      <w:r>
        <w:rPr>
          <w:rFonts w:hint="eastAsia" w:ascii="Times New Roman" w:hAnsi="Times New Roman" w:eastAsia="宋体" w:cs="Times New Roman"/>
        </w:rPr>
        <w:t>▲1.</w:t>
      </w:r>
      <w:r>
        <w:rPr>
          <w:rFonts w:hint="eastAsia" w:asciiTheme="minorEastAsia" w:hAnsiTheme="minorEastAsia" w:eastAsiaTheme="minorEastAsia" w:cstheme="minorEastAsia"/>
          <w:sz w:val="21"/>
          <w:szCs w:val="21"/>
        </w:rPr>
        <w:t>供应商投标产品若为纳入国家医疗保障局《医保医用耗材分类与代码》目录且具有医疗器械注册证的在用医用耗材(不含一类医疗器械)和具有医疗器械注册证或备案凭证的在用体外诊断试剂，则必须为四川省药械集中采购及医药价格监管平台挂网公示产品,并提供挂网商品代码（</w:t>
      </w:r>
      <w:r>
        <w:rPr>
          <w:rFonts w:hint="eastAsia" w:asciiTheme="minorEastAsia" w:hAnsiTheme="minorEastAsia" w:eastAsiaTheme="minorEastAsia" w:cstheme="minorEastAsia"/>
          <w:b/>
          <w:bCs/>
          <w:sz w:val="21"/>
          <w:szCs w:val="21"/>
        </w:rPr>
        <w:t>已经挂网的需要提供集采平台挂网截图</w:t>
      </w:r>
      <w:r>
        <w:rPr>
          <w:rFonts w:hint="eastAsia" w:asciiTheme="minorEastAsia" w:hAnsiTheme="minorEastAsia" w:eastAsiaTheme="minorEastAsia" w:cstheme="minorEastAsia"/>
          <w:sz w:val="21"/>
          <w:szCs w:val="21"/>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widowControl/>
        <w:shd w:val="clear"/>
        <w:spacing w:line="360" w:lineRule="auto"/>
        <w:jc w:val="left"/>
        <w:rPr>
          <w:rFonts w:hint="eastAsia" w:ascii="宋体" w:hAnsi="宋体" w:eastAsia="宋体" w:cs="Segoe UI"/>
          <w:b/>
          <w:bCs/>
          <w:kern w:val="0"/>
          <w:sz w:val="28"/>
          <w:szCs w:val="28"/>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widowControl/>
        <w:shd w:val="clear"/>
        <w:spacing w:line="360" w:lineRule="auto"/>
        <w:jc w:val="left"/>
        <w:rPr>
          <w:rFonts w:hint="eastAsia" w:ascii="宋体" w:hAnsi="宋体" w:eastAsia="宋体" w:cs="Segoe UI"/>
          <w:b/>
          <w:bCs/>
          <w:kern w:val="0"/>
          <w:sz w:val="28"/>
          <w:szCs w:val="28"/>
        </w:rPr>
      </w:pPr>
    </w:p>
    <w:p>
      <w:pPr>
        <w:pStyle w:val="2"/>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ascii="宋体" w:hAnsi="宋体" w:eastAsia="宋体" w:cs="Segoe UI"/>
          <w:b/>
          <w:bCs/>
          <w:kern w:val="0"/>
          <w:sz w:val="28"/>
          <w:szCs w:val="28"/>
        </w:rPr>
      </w:pPr>
    </w:p>
    <w:p>
      <w:pPr>
        <w:rPr>
          <w:rFonts w:hint="eastAsia"/>
        </w:rPr>
      </w:pP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pPr w:leftFromText="180" w:rightFromText="180" w:vertAnchor="text" w:horzAnchor="page" w:tblpXSpec="center" w:tblpY="1275"/>
        <w:tblOverlap w:val="never"/>
        <w:tblW w:w="53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09"/>
        <w:gridCol w:w="535"/>
        <w:gridCol w:w="4168"/>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00" w:type="pct"/>
            <w:gridSpan w:val="5"/>
            <w:noWrap w:val="0"/>
            <w:vAlign w:val="center"/>
          </w:tcPr>
          <w:p>
            <w:pPr>
              <w:widowControl/>
              <w:wordWrap w:val="0"/>
              <w:spacing w:line="240" w:lineRule="atLeast"/>
              <w:jc w:val="left"/>
              <w:rPr>
                <w:rFonts w:hint="default" w:ascii="宋体" w:hAnsi="宋体" w:eastAsia="宋体" w:cs="Segoe UI"/>
                <w:b/>
                <w:color w:val="333333"/>
                <w:kern w:val="0"/>
                <w:sz w:val="20"/>
                <w:szCs w:val="20"/>
                <w:lang w:val="en-US" w:eastAsia="zh-CN"/>
              </w:rPr>
            </w:pPr>
            <w:r>
              <w:rPr>
                <w:rFonts w:hint="eastAsia" w:ascii="宋体" w:hAnsi="宋体" w:cs="Segoe UI"/>
                <w:b/>
                <w:color w:val="333333"/>
                <w:kern w:val="0"/>
                <w:sz w:val="21"/>
                <w:szCs w:val="21"/>
                <w:lang w:val="en-US" w:eastAsia="zh-CN"/>
              </w:rPr>
              <w:t>01包：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45" w:type="pct"/>
            <w:noWrap w:val="0"/>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序号</w:t>
            </w:r>
          </w:p>
        </w:tc>
        <w:tc>
          <w:tcPr>
            <w:tcW w:w="517" w:type="pct"/>
            <w:noWrap w:val="0"/>
            <w:vAlign w:val="center"/>
          </w:tcPr>
          <w:p>
            <w:pPr>
              <w:widowControl/>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评分因素</w:t>
            </w:r>
          </w:p>
        </w:tc>
        <w:tc>
          <w:tcPr>
            <w:tcW w:w="249" w:type="pct"/>
            <w:noWrap w:val="0"/>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分值</w:t>
            </w:r>
          </w:p>
        </w:tc>
        <w:tc>
          <w:tcPr>
            <w:tcW w:w="1945" w:type="pct"/>
            <w:noWrap w:val="0"/>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评分标准</w:t>
            </w:r>
          </w:p>
        </w:tc>
        <w:tc>
          <w:tcPr>
            <w:tcW w:w="2041" w:type="pct"/>
            <w:noWrap w:val="0"/>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45"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517"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r>
              <w:rPr>
                <w:rFonts w:hint="eastAsia" w:ascii="宋体" w:hAnsi="宋体" w:cs="Segoe UI"/>
                <w:color w:val="000000"/>
                <w:kern w:val="0"/>
                <w:sz w:val="18"/>
                <w:szCs w:val="18"/>
              </w:rPr>
              <w:t>0%</w:t>
            </w:r>
          </w:p>
        </w:tc>
        <w:tc>
          <w:tcPr>
            <w:tcW w:w="249"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1945" w:type="pct"/>
            <w:noWrap w:val="0"/>
            <w:vAlign w:val="center"/>
          </w:tcPr>
          <w:p>
            <w:pPr>
              <w:widowControl/>
              <w:wordWrap w:val="0"/>
              <w:spacing w:line="270" w:lineRule="atLeast"/>
              <w:jc w:val="left"/>
              <w:rPr>
                <w:rFonts w:ascii="宋体" w:hAnsi="宋体" w:cs="Segoe UI"/>
                <w:b/>
                <w:kern w:val="0"/>
                <w:sz w:val="18"/>
                <w:szCs w:val="18"/>
                <w:lang w:val="en-US" w:eastAsia="zh-CN" w:bidi="ar-SA"/>
              </w:rPr>
            </w:pPr>
            <w:r>
              <w:rPr>
                <w:rFonts w:hint="eastAsia" w:ascii="宋体" w:hAnsi="宋体" w:cs="Segoe UI"/>
                <w:kern w:val="0"/>
                <w:sz w:val="18"/>
                <w:szCs w:val="18"/>
              </w:rPr>
              <w:t>投标</w:t>
            </w:r>
            <w:r>
              <w:rPr>
                <w:rFonts w:hint="eastAsia" w:ascii="宋体" w:hAnsi="宋体" w:cs="Segoe UI"/>
                <w:kern w:val="0"/>
                <w:sz w:val="18"/>
                <w:szCs w:val="18"/>
                <w:lang w:val="en-US" w:eastAsia="zh-CN"/>
              </w:rPr>
              <w:t>耗材（试剂）</w:t>
            </w:r>
            <w:r>
              <w:rPr>
                <w:rFonts w:hint="eastAsia" w:ascii="宋体" w:hAnsi="宋体" w:cs="Segoe UI"/>
                <w:kern w:val="0"/>
                <w:sz w:val="18"/>
                <w:szCs w:val="18"/>
              </w:rPr>
              <w:t>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30</w:t>
            </w:r>
          </w:p>
        </w:tc>
        <w:tc>
          <w:tcPr>
            <w:tcW w:w="2041" w:type="pct"/>
            <w:noWrap w:val="0"/>
            <w:vAlign w:val="center"/>
          </w:tcPr>
          <w:p>
            <w:pPr>
              <w:widowControl/>
              <w:numPr>
                <w:ilvl w:val="0"/>
                <w:numId w:val="4"/>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4"/>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45"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517"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55</w:t>
            </w:r>
            <w:r>
              <w:rPr>
                <w:rFonts w:hint="eastAsia" w:ascii="宋体" w:hAnsi="宋体" w:cs="Segoe UI"/>
                <w:color w:val="000000"/>
                <w:kern w:val="0"/>
                <w:sz w:val="18"/>
                <w:szCs w:val="18"/>
              </w:rPr>
              <w:t>%</w:t>
            </w:r>
          </w:p>
        </w:tc>
        <w:tc>
          <w:tcPr>
            <w:tcW w:w="249"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55</w:t>
            </w:r>
          </w:p>
        </w:tc>
        <w:tc>
          <w:tcPr>
            <w:tcW w:w="1945"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投标人提供的试剂耗材的技术参数完全符合招标文件要求，没有负</w:t>
            </w:r>
            <w:r>
              <w:rPr>
                <w:rFonts w:hint="eastAsia" w:ascii="宋体" w:hAnsi="宋体" w:cs="宋体"/>
                <w:color w:val="auto"/>
                <w:kern w:val="0"/>
                <w:sz w:val="18"/>
                <w:szCs w:val="18"/>
              </w:rPr>
              <w:t>偏离得</w:t>
            </w:r>
            <w:r>
              <w:rPr>
                <w:rFonts w:hint="eastAsia" w:ascii="宋体" w:hAnsi="宋体" w:cs="宋体"/>
                <w:color w:val="auto"/>
                <w:kern w:val="0"/>
                <w:sz w:val="18"/>
                <w:szCs w:val="18"/>
                <w:lang w:val="en-US" w:eastAsia="zh-CN"/>
              </w:rPr>
              <w:t>55</w:t>
            </w:r>
            <w:r>
              <w:rPr>
                <w:rFonts w:hint="eastAsia" w:ascii="宋体" w:hAnsi="宋体" w:cs="宋体"/>
                <w:color w:val="auto"/>
                <w:kern w:val="0"/>
                <w:sz w:val="18"/>
                <w:szCs w:val="18"/>
              </w:rPr>
              <w:t>分；非“★”条款技术参数不满足招标文件要求（负偏离），一次扣</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rPr>
              <w:t>扣完为止。</w:t>
            </w:r>
          </w:p>
        </w:tc>
        <w:tc>
          <w:tcPr>
            <w:tcW w:w="2041" w:type="pct"/>
            <w:noWrap w:val="0"/>
            <w:vAlign w:val="center"/>
          </w:tcPr>
          <w:p>
            <w:pPr>
              <w:widowControl/>
              <w:wordWrap w:val="0"/>
              <w:spacing w:line="270" w:lineRule="atLeast"/>
              <w:jc w:val="left"/>
              <w:rPr>
                <w:rFonts w:ascii="宋体" w:hAnsi="宋体" w:cs="Segoe UI"/>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 w:type="pct"/>
            <w:noWrap w:val="0"/>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p>
        </w:tc>
        <w:tc>
          <w:tcPr>
            <w:tcW w:w="517"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9</w:t>
            </w:r>
            <w:r>
              <w:rPr>
                <w:rFonts w:hint="eastAsia" w:ascii="宋体" w:hAnsi="宋体" w:cs="Segoe UI"/>
                <w:color w:val="000000"/>
                <w:kern w:val="0"/>
                <w:sz w:val="18"/>
                <w:szCs w:val="18"/>
              </w:rPr>
              <w:t>%</w:t>
            </w:r>
          </w:p>
        </w:tc>
        <w:tc>
          <w:tcPr>
            <w:tcW w:w="249"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9</w:t>
            </w:r>
          </w:p>
        </w:tc>
        <w:tc>
          <w:tcPr>
            <w:tcW w:w="1945"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21</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2041"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需提供以下证明资料如</w:t>
            </w:r>
            <w:r>
              <w:rPr>
                <w:rFonts w:hint="eastAsia" w:ascii="宋体" w:hAnsi="宋体" w:cs="宋体"/>
                <w:kern w:val="0"/>
                <w:sz w:val="18"/>
                <w:szCs w:val="18"/>
              </w:rPr>
              <w:t>下：</w:t>
            </w:r>
          </w:p>
          <w:p>
            <w:pPr>
              <w:widowControl/>
              <w:wordWrap w:val="0"/>
              <w:spacing w:line="270" w:lineRule="atLeas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1.合同复印件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说明：合同无产品明细需提供发票复印件</w:t>
            </w:r>
            <w:r>
              <w:rPr>
                <w:rFonts w:hint="eastAsia" w:ascii="宋体" w:hAnsi="宋体" w:cs="宋体"/>
                <w:kern w:val="0"/>
                <w:sz w:val="18"/>
                <w:szCs w:val="18"/>
                <w:lang w:eastAsia="zh-CN"/>
              </w:rPr>
              <w:t>，</w:t>
            </w:r>
            <w:r>
              <w:rPr>
                <w:rFonts w:hint="eastAsia" w:ascii="宋体" w:hAnsi="宋体" w:cs="宋体"/>
                <w:kern w:val="0"/>
                <w:sz w:val="18"/>
                <w:szCs w:val="18"/>
              </w:rPr>
              <w:t>若发票复印件上</w:t>
            </w:r>
            <w:r>
              <w:rPr>
                <w:rFonts w:hint="eastAsia" w:ascii="宋体" w:hAnsi="宋体" w:cs="宋体"/>
                <w:kern w:val="0"/>
                <w:sz w:val="18"/>
                <w:szCs w:val="18"/>
                <w:lang w:val="en-US" w:eastAsia="zh-CN"/>
              </w:rPr>
              <w:t>也</w:t>
            </w:r>
            <w:r>
              <w:rPr>
                <w:rFonts w:hint="eastAsia" w:ascii="宋体" w:hAnsi="宋体" w:cs="宋体"/>
                <w:kern w:val="0"/>
                <w:sz w:val="18"/>
                <w:szCs w:val="18"/>
              </w:rPr>
              <w:t>无产品明细则需附销货清单）</w:t>
            </w:r>
            <w:r>
              <w:rPr>
                <w:rFonts w:hint="eastAsia" w:ascii="宋体" w:hAnsi="宋体" w:cs="宋体"/>
                <w:kern w:val="0"/>
                <w:sz w:val="18"/>
                <w:szCs w:val="18"/>
                <w:lang w:eastAsia="zh-CN"/>
              </w:rPr>
              <w:t>。</w:t>
            </w:r>
          </w:p>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宋体"/>
                <w:kern w:val="0"/>
                <w:sz w:val="18"/>
                <w:szCs w:val="18"/>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45" w:type="pct"/>
            <w:noWrap w:val="0"/>
            <w:vAlign w:val="center"/>
          </w:tcPr>
          <w:p>
            <w:pPr>
              <w:widowControl/>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4</w:t>
            </w:r>
          </w:p>
        </w:tc>
        <w:tc>
          <w:tcPr>
            <w:tcW w:w="517"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w:t>
            </w:r>
          </w:p>
        </w:tc>
        <w:tc>
          <w:tcPr>
            <w:tcW w:w="249"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6</w:t>
            </w:r>
          </w:p>
        </w:tc>
        <w:tc>
          <w:tcPr>
            <w:tcW w:w="1945" w:type="pct"/>
            <w:noWrap w:val="0"/>
            <w:vAlign w:val="center"/>
          </w:tcPr>
          <w:p>
            <w:pPr>
              <w:wordWrap w:val="0"/>
              <w:jc w:val="left"/>
              <w:rPr>
                <w:rFonts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6</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2</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分，分值扣完为止。</w:t>
            </w:r>
          </w:p>
        </w:tc>
        <w:tc>
          <w:tcPr>
            <w:tcW w:w="2041" w:type="pct"/>
            <w:noWrap w:val="0"/>
            <w:vAlign w:val="center"/>
          </w:tcPr>
          <w:p>
            <w:pPr>
              <w:wordWrap w:val="0"/>
              <w:jc w:val="left"/>
              <w:rPr>
                <w:rFonts w:ascii="宋体" w:hAnsi="宋体" w:cs="Segoe UI"/>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000" w:type="pct"/>
            <w:gridSpan w:val="5"/>
            <w:noWrap w:val="0"/>
            <w:vAlign w:val="center"/>
          </w:tcPr>
          <w:p>
            <w:pPr>
              <w:wordWrap w:val="0"/>
              <w:jc w:val="left"/>
              <w:rPr>
                <w:rFonts w:hint="default" w:ascii="宋体" w:hAnsi="宋体" w:cs="Segoe UI"/>
                <w:color w:val="000000"/>
                <w:kern w:val="0"/>
                <w:sz w:val="18"/>
                <w:szCs w:val="18"/>
                <w:lang w:val="en-US" w:eastAsia="zh-CN" w:bidi="ar-SA"/>
              </w:rPr>
            </w:pPr>
            <w:r>
              <w:rPr>
                <w:rFonts w:hint="eastAsia" w:ascii="宋体" w:hAnsi="宋体" w:cs="Segoe UI"/>
                <w:b/>
                <w:bCs/>
                <w:color w:val="000000"/>
                <w:kern w:val="0"/>
                <w:sz w:val="21"/>
                <w:szCs w:val="21"/>
                <w:lang w:val="en-US" w:eastAsia="zh-CN" w:bidi="ar-SA"/>
              </w:rPr>
              <w:t>02包：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45" w:type="pct"/>
            <w:noWrap w:val="0"/>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序号</w:t>
            </w:r>
          </w:p>
        </w:tc>
        <w:tc>
          <w:tcPr>
            <w:tcW w:w="517" w:type="pct"/>
            <w:noWrap w:val="0"/>
            <w:vAlign w:val="center"/>
          </w:tcPr>
          <w:p>
            <w:pPr>
              <w:widowControl/>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评分因素</w:t>
            </w:r>
          </w:p>
        </w:tc>
        <w:tc>
          <w:tcPr>
            <w:tcW w:w="249" w:type="pct"/>
            <w:noWrap w:val="0"/>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分值</w:t>
            </w:r>
          </w:p>
        </w:tc>
        <w:tc>
          <w:tcPr>
            <w:tcW w:w="1945" w:type="pct"/>
            <w:noWrap w:val="0"/>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评分标准</w:t>
            </w:r>
          </w:p>
        </w:tc>
        <w:tc>
          <w:tcPr>
            <w:tcW w:w="2041" w:type="pct"/>
            <w:noWrap w:val="0"/>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45" w:type="pct"/>
            <w:noWrap w:val="0"/>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517"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r>
              <w:rPr>
                <w:rFonts w:hint="eastAsia" w:ascii="宋体" w:hAnsi="宋体" w:cs="Segoe UI"/>
                <w:color w:val="000000"/>
                <w:kern w:val="0"/>
                <w:sz w:val="18"/>
                <w:szCs w:val="18"/>
              </w:rPr>
              <w:t>0%</w:t>
            </w:r>
          </w:p>
        </w:tc>
        <w:tc>
          <w:tcPr>
            <w:tcW w:w="249" w:type="pct"/>
            <w:noWrap w:val="0"/>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1945" w:type="pct"/>
            <w:noWrap w:val="0"/>
            <w:vAlign w:val="center"/>
          </w:tcPr>
          <w:p>
            <w:pPr>
              <w:widowControl/>
              <w:wordWrap w:val="0"/>
              <w:spacing w:line="270" w:lineRule="atLeast"/>
              <w:jc w:val="left"/>
              <w:rPr>
                <w:rFonts w:hint="eastAsia" w:ascii="宋体" w:hAnsi="宋体" w:eastAsia="宋体" w:cs="Segoe UI"/>
                <w:b/>
                <w:kern w:val="0"/>
                <w:sz w:val="18"/>
                <w:szCs w:val="18"/>
                <w:lang w:val="en-US" w:eastAsia="zh-CN" w:bidi="ar-SA"/>
              </w:rPr>
            </w:pPr>
            <w:r>
              <w:rPr>
                <w:rFonts w:hint="eastAsia" w:ascii="宋体" w:hAnsi="宋体" w:cs="Segoe UI"/>
                <w:kern w:val="0"/>
                <w:sz w:val="18"/>
                <w:szCs w:val="18"/>
              </w:rPr>
              <w:t>投标</w:t>
            </w:r>
            <w:r>
              <w:rPr>
                <w:rFonts w:hint="eastAsia" w:ascii="宋体" w:hAnsi="宋体" w:cs="Segoe UI"/>
                <w:kern w:val="0"/>
                <w:sz w:val="18"/>
                <w:szCs w:val="18"/>
                <w:lang w:val="en-US" w:eastAsia="zh-CN"/>
              </w:rPr>
              <w:t>耗材（试剂）</w:t>
            </w:r>
            <w:r>
              <w:rPr>
                <w:rFonts w:hint="eastAsia" w:ascii="宋体" w:hAnsi="宋体" w:cs="Segoe UI"/>
                <w:kern w:val="0"/>
                <w:sz w:val="18"/>
                <w:szCs w:val="18"/>
              </w:rPr>
              <w:t>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30</w:t>
            </w:r>
          </w:p>
        </w:tc>
        <w:tc>
          <w:tcPr>
            <w:tcW w:w="2041" w:type="pct"/>
            <w:noWrap w:val="0"/>
            <w:vAlign w:val="center"/>
          </w:tcPr>
          <w:p>
            <w:pPr>
              <w:widowControl/>
              <w:numPr>
                <w:ilvl w:val="0"/>
                <w:numId w:val="4"/>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4"/>
              </w:numPr>
              <w:wordWrap w:val="0"/>
              <w:spacing w:line="270" w:lineRule="atLeast"/>
              <w:jc w:val="left"/>
              <w:rPr>
                <w:rFonts w:ascii="宋体" w:hAnsi="宋体" w:eastAsia="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45" w:type="pct"/>
            <w:noWrap w:val="0"/>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517"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56</w:t>
            </w:r>
            <w:r>
              <w:rPr>
                <w:rFonts w:hint="eastAsia" w:ascii="宋体" w:hAnsi="宋体" w:cs="Segoe UI"/>
                <w:color w:val="000000"/>
                <w:kern w:val="0"/>
                <w:sz w:val="18"/>
                <w:szCs w:val="18"/>
              </w:rPr>
              <w:t>%</w:t>
            </w:r>
          </w:p>
        </w:tc>
        <w:tc>
          <w:tcPr>
            <w:tcW w:w="249" w:type="pct"/>
            <w:noWrap w:val="0"/>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56</w:t>
            </w:r>
          </w:p>
        </w:tc>
        <w:tc>
          <w:tcPr>
            <w:tcW w:w="1945" w:type="pct"/>
            <w:noWrap w:val="0"/>
            <w:vAlign w:val="center"/>
          </w:tcPr>
          <w:p>
            <w:pPr>
              <w:widowControl/>
              <w:wordWrap w:val="0"/>
              <w:spacing w:line="270" w:lineRule="atLeast"/>
              <w:jc w:val="left"/>
              <w:rPr>
                <w:rFonts w:hint="eastAsia" w:ascii="宋体" w:hAnsi="宋体" w:eastAsia="宋体" w:cs="Segoe UI"/>
                <w:kern w:val="0"/>
                <w:sz w:val="18"/>
                <w:szCs w:val="18"/>
                <w:lang w:val="en-US" w:eastAsia="zh-CN" w:bidi="ar-SA"/>
              </w:rPr>
            </w:pPr>
            <w:r>
              <w:rPr>
                <w:rFonts w:hint="eastAsia" w:ascii="宋体" w:hAnsi="宋体" w:cs="宋体"/>
                <w:kern w:val="0"/>
                <w:sz w:val="18"/>
                <w:szCs w:val="18"/>
              </w:rPr>
              <w:t>投标人提供的试剂耗材的技术参数完全符合招标文件要求，没有负</w:t>
            </w:r>
            <w:r>
              <w:rPr>
                <w:rFonts w:hint="eastAsia" w:ascii="宋体" w:hAnsi="宋体" w:cs="宋体"/>
                <w:color w:val="auto"/>
                <w:kern w:val="0"/>
                <w:sz w:val="18"/>
                <w:szCs w:val="18"/>
              </w:rPr>
              <w:t>偏离得</w:t>
            </w:r>
            <w:r>
              <w:rPr>
                <w:rFonts w:hint="eastAsia" w:ascii="宋体" w:hAnsi="宋体" w:cs="宋体"/>
                <w:color w:val="auto"/>
                <w:kern w:val="0"/>
                <w:sz w:val="18"/>
                <w:szCs w:val="18"/>
                <w:lang w:val="en-US" w:eastAsia="zh-CN"/>
              </w:rPr>
              <w:t>56</w:t>
            </w:r>
            <w:r>
              <w:rPr>
                <w:rFonts w:hint="eastAsia" w:ascii="宋体" w:hAnsi="宋体" w:cs="宋体"/>
                <w:color w:val="auto"/>
                <w:kern w:val="0"/>
                <w:sz w:val="18"/>
                <w:szCs w:val="18"/>
              </w:rPr>
              <w:t>分；非“★”条款技术参数不满足招标文件要求（负偏离），一次扣</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rPr>
              <w:t>扣完为止。</w:t>
            </w:r>
          </w:p>
        </w:tc>
        <w:tc>
          <w:tcPr>
            <w:tcW w:w="2041" w:type="pct"/>
            <w:noWrap w:val="0"/>
            <w:vAlign w:val="center"/>
          </w:tcPr>
          <w:p>
            <w:pPr>
              <w:widowControl/>
              <w:wordWrap w:val="0"/>
              <w:spacing w:line="270" w:lineRule="atLeast"/>
              <w:jc w:val="left"/>
              <w:rPr>
                <w:rFonts w:ascii="宋体" w:hAnsi="宋体" w:eastAsia="宋体" w:cs="Segoe UI"/>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45" w:type="pct"/>
            <w:noWrap w:val="0"/>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p>
        </w:tc>
        <w:tc>
          <w:tcPr>
            <w:tcW w:w="517"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8</w:t>
            </w:r>
            <w:r>
              <w:rPr>
                <w:rFonts w:hint="eastAsia" w:ascii="宋体" w:hAnsi="宋体" w:cs="Segoe UI"/>
                <w:color w:val="000000"/>
                <w:kern w:val="0"/>
                <w:sz w:val="18"/>
                <w:szCs w:val="18"/>
              </w:rPr>
              <w:t>%</w:t>
            </w:r>
          </w:p>
        </w:tc>
        <w:tc>
          <w:tcPr>
            <w:tcW w:w="249" w:type="pct"/>
            <w:noWrap w:val="0"/>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8</w:t>
            </w:r>
          </w:p>
        </w:tc>
        <w:tc>
          <w:tcPr>
            <w:tcW w:w="1945"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21</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2041"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需提供以下证明资料如</w:t>
            </w:r>
            <w:r>
              <w:rPr>
                <w:rFonts w:hint="eastAsia" w:ascii="宋体" w:hAnsi="宋体" w:cs="宋体"/>
                <w:kern w:val="0"/>
                <w:sz w:val="18"/>
                <w:szCs w:val="18"/>
              </w:rPr>
              <w:t>下：</w:t>
            </w:r>
          </w:p>
          <w:p>
            <w:pPr>
              <w:widowControl/>
              <w:wordWrap w:val="0"/>
              <w:spacing w:line="270" w:lineRule="atLeas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1.合同复印件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说明：合同无产品明细需提供发票复印件</w:t>
            </w:r>
            <w:r>
              <w:rPr>
                <w:rFonts w:hint="eastAsia" w:ascii="宋体" w:hAnsi="宋体" w:cs="宋体"/>
                <w:kern w:val="0"/>
                <w:sz w:val="18"/>
                <w:szCs w:val="18"/>
                <w:lang w:eastAsia="zh-CN"/>
              </w:rPr>
              <w:t>，</w:t>
            </w:r>
            <w:r>
              <w:rPr>
                <w:rFonts w:hint="eastAsia" w:ascii="宋体" w:hAnsi="宋体" w:cs="宋体"/>
                <w:kern w:val="0"/>
                <w:sz w:val="18"/>
                <w:szCs w:val="18"/>
              </w:rPr>
              <w:t>若发票复印件上</w:t>
            </w:r>
            <w:r>
              <w:rPr>
                <w:rFonts w:hint="eastAsia" w:ascii="宋体" w:hAnsi="宋体" w:cs="宋体"/>
                <w:kern w:val="0"/>
                <w:sz w:val="18"/>
                <w:szCs w:val="18"/>
                <w:lang w:val="en-US" w:eastAsia="zh-CN"/>
              </w:rPr>
              <w:t>也</w:t>
            </w:r>
            <w:r>
              <w:rPr>
                <w:rFonts w:hint="eastAsia" w:ascii="宋体" w:hAnsi="宋体" w:cs="宋体"/>
                <w:kern w:val="0"/>
                <w:sz w:val="18"/>
                <w:szCs w:val="18"/>
              </w:rPr>
              <w:t>无产品明细则需附销货清单）</w:t>
            </w:r>
            <w:r>
              <w:rPr>
                <w:rFonts w:hint="eastAsia" w:ascii="宋体" w:hAnsi="宋体" w:cs="宋体"/>
                <w:kern w:val="0"/>
                <w:sz w:val="18"/>
                <w:szCs w:val="18"/>
                <w:lang w:eastAsia="zh-CN"/>
              </w:rPr>
              <w:t>。</w:t>
            </w:r>
          </w:p>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宋体"/>
                <w:kern w:val="0"/>
                <w:sz w:val="18"/>
                <w:szCs w:val="18"/>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45" w:type="pct"/>
            <w:noWrap w:val="0"/>
            <w:vAlign w:val="center"/>
          </w:tcPr>
          <w:p>
            <w:pPr>
              <w:widowControl/>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4</w:t>
            </w:r>
          </w:p>
        </w:tc>
        <w:tc>
          <w:tcPr>
            <w:tcW w:w="517"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w:t>
            </w:r>
          </w:p>
        </w:tc>
        <w:tc>
          <w:tcPr>
            <w:tcW w:w="249"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6</w:t>
            </w:r>
          </w:p>
        </w:tc>
        <w:tc>
          <w:tcPr>
            <w:tcW w:w="1945" w:type="pct"/>
            <w:noWrap w:val="0"/>
            <w:vAlign w:val="center"/>
          </w:tcPr>
          <w:p>
            <w:pPr>
              <w:wordWrap w:val="0"/>
              <w:jc w:val="left"/>
              <w:rPr>
                <w:rFonts w:hint="eastAsia" w:ascii="宋体" w:hAnsi="宋体" w:eastAsia="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6</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2</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分，分值扣完为止。</w:t>
            </w:r>
          </w:p>
        </w:tc>
        <w:tc>
          <w:tcPr>
            <w:tcW w:w="2041" w:type="pct"/>
            <w:noWrap w:val="0"/>
            <w:vAlign w:val="center"/>
          </w:tcPr>
          <w:p>
            <w:pPr>
              <w:wordWrap w:val="0"/>
              <w:jc w:val="left"/>
              <w:rPr>
                <w:rFonts w:ascii="宋体" w:hAnsi="宋体" w:eastAsia="宋体" w:cs="Segoe UI"/>
                <w:color w:val="000000"/>
                <w:kern w:val="0"/>
                <w:sz w:val="18"/>
                <w:szCs w:val="18"/>
                <w:lang w:val="en-US" w:eastAsia="zh-CN" w:bidi="ar-SA"/>
              </w:rPr>
            </w:pPr>
          </w:p>
        </w:tc>
      </w:tr>
    </w:tbl>
    <w:p>
      <w:pPr>
        <w:shd w:val="clear"/>
      </w:pPr>
    </w:p>
    <w:p>
      <w:pPr>
        <w:widowControl/>
        <w:shd w:val="clear"/>
        <w:jc w:val="left"/>
        <w:rPr>
          <w:rFonts w:hint="eastAsia" w:ascii="仿宋_GB2312" w:hAnsi="Segoe UI" w:eastAsia="仿宋_GB2312" w:cs="Segoe UI"/>
          <w:b/>
          <w:bCs/>
          <w:color w:val="000000" w:themeColor="text1"/>
          <w:kern w:val="0"/>
          <w:sz w:val="28"/>
          <w:szCs w:val="28"/>
        </w:rPr>
      </w:pPr>
    </w:p>
    <w:p>
      <w:pPr>
        <w:widowControl/>
        <w:shd w:val="clear"/>
        <w:jc w:val="left"/>
        <w:rPr>
          <w:rFonts w:hint="eastAsia" w:ascii="仿宋_GB2312" w:hAnsi="Segoe UI" w:eastAsia="仿宋_GB2312" w:cs="Segoe UI"/>
          <w:b/>
          <w:bCs/>
          <w:color w:val="000000" w:themeColor="text1"/>
          <w:kern w:val="0"/>
          <w:sz w:val="28"/>
          <w:szCs w:val="28"/>
        </w:rPr>
      </w:pPr>
    </w:p>
    <w:p>
      <w:pPr>
        <w:pStyle w:val="2"/>
        <w:rPr>
          <w:rFonts w:hint="eastAsia" w:ascii="仿宋_GB2312" w:hAnsi="Segoe UI" w:eastAsia="仿宋_GB2312" w:cs="Segoe UI"/>
          <w:b/>
          <w:bCs/>
          <w:color w:val="000000" w:themeColor="text1"/>
          <w:kern w:val="0"/>
          <w:sz w:val="28"/>
          <w:szCs w:val="28"/>
        </w:rPr>
      </w:pPr>
    </w:p>
    <w:p>
      <w:pPr>
        <w:rPr>
          <w:rFonts w:hint="eastAsia" w:ascii="仿宋_GB2312" w:hAnsi="Segoe UI" w:eastAsia="仿宋_GB2312" w:cs="Segoe UI"/>
          <w:b/>
          <w:bCs/>
          <w:color w:val="000000" w:themeColor="text1"/>
          <w:kern w:val="0"/>
          <w:sz w:val="28"/>
          <w:szCs w:val="28"/>
        </w:rPr>
      </w:pPr>
    </w:p>
    <w:p>
      <w:pPr>
        <w:rPr>
          <w:rFonts w:hint="eastAsia" w:ascii="仿宋_GB2312" w:hAnsi="Segoe UI" w:eastAsia="仿宋_GB2312" w:cs="Segoe UI"/>
          <w:b/>
          <w:bCs/>
          <w:color w:val="000000" w:themeColor="text1"/>
          <w:kern w:val="0"/>
          <w:sz w:val="28"/>
          <w:szCs w:val="28"/>
        </w:rPr>
      </w:pPr>
    </w:p>
    <w:p>
      <w:pPr>
        <w:pStyle w:val="2"/>
        <w:rPr>
          <w:rFonts w:hint="eastAsia"/>
        </w:rPr>
      </w:pPr>
    </w:p>
    <w:p>
      <w:pPr>
        <w:pStyle w:val="2"/>
        <w:rPr>
          <w:rFonts w:hint="eastAsia"/>
        </w:rPr>
      </w:pPr>
    </w:p>
    <w:p>
      <w:pPr>
        <w:widowControl/>
        <w:shd w:val="clear"/>
        <w:jc w:val="left"/>
        <w:rPr>
          <w:rFonts w:hint="eastAsia" w:ascii="仿宋_GB2312" w:hAnsi="Segoe UI" w:eastAsia="仿宋_GB2312" w:cs="Segoe UI"/>
          <w:b/>
          <w:bCs/>
          <w:color w:val="000000" w:themeColor="text1"/>
          <w:kern w:val="0"/>
          <w:sz w:val="28"/>
          <w:szCs w:val="28"/>
        </w:rPr>
      </w:pPr>
    </w:p>
    <w:p>
      <w:pPr>
        <w:widowControl/>
        <w:shd w:val="clear"/>
        <w:jc w:val="left"/>
        <w:rPr>
          <w:rFonts w:hint="eastAsia" w:ascii="仿宋_GB2312" w:hAnsi="Segoe UI" w:eastAsia="仿宋_GB2312" w:cs="Segoe UI"/>
          <w:b/>
          <w:bCs/>
          <w:color w:val="000000" w:themeColor="text1"/>
          <w:kern w:val="0"/>
          <w:sz w:val="28"/>
          <w:szCs w:val="28"/>
        </w:rPr>
      </w:pPr>
    </w:p>
    <w:p>
      <w:pPr>
        <w:widowControl/>
        <w:shd w:val="clear"/>
        <w:jc w:val="left"/>
        <w:rPr>
          <w:rFonts w:hint="eastAsia" w:ascii="仿宋_GB2312" w:hAnsi="Segoe UI" w:eastAsia="仿宋_GB2312" w:cs="Segoe UI"/>
          <w:b/>
          <w:bCs/>
          <w:color w:val="000000" w:themeColor="text1"/>
          <w:kern w:val="0"/>
          <w:sz w:val="28"/>
          <w:szCs w:val="28"/>
        </w:rPr>
      </w:pPr>
    </w:p>
    <w:p>
      <w:pPr>
        <w:widowControl/>
        <w:shd w:val="clear"/>
        <w:jc w:val="left"/>
        <w:rPr>
          <w:rFonts w:hint="eastAsia" w:ascii="仿宋_GB2312" w:hAnsi="Segoe UI" w:eastAsia="仿宋_GB2312" w:cs="Segoe UI"/>
          <w:b/>
          <w:bCs/>
          <w:color w:val="000000" w:themeColor="text1"/>
          <w:kern w:val="0"/>
          <w:sz w:val="28"/>
          <w:szCs w:val="28"/>
        </w:rPr>
      </w:pPr>
    </w:p>
    <w:p>
      <w:pPr>
        <w:widowControl/>
        <w:shd w:val="clear"/>
        <w:jc w:val="left"/>
        <w:rPr>
          <w:rFonts w:hint="eastAsia" w:ascii="仿宋_GB2312" w:hAnsi="Segoe UI" w:eastAsia="仿宋_GB2312" w:cs="Segoe UI"/>
          <w:b/>
          <w:bCs/>
          <w:color w:val="000000" w:themeColor="text1"/>
          <w:kern w:val="0"/>
          <w:sz w:val="28"/>
          <w:szCs w:val="28"/>
        </w:rPr>
      </w:pPr>
    </w:p>
    <w:p>
      <w:pPr>
        <w:widowControl/>
        <w:shd w:val="clear"/>
        <w:jc w:val="left"/>
        <w:rPr>
          <w:rFonts w:hint="eastAsia" w:ascii="仿宋_GB2312" w:hAnsi="Segoe UI" w:eastAsia="仿宋_GB2312" w:cs="Segoe UI"/>
          <w:b/>
          <w:bCs/>
          <w:color w:val="000000" w:themeColor="text1"/>
          <w:kern w:val="0"/>
          <w:sz w:val="28"/>
          <w:szCs w:val="28"/>
        </w:rPr>
      </w:pPr>
    </w:p>
    <w:p>
      <w:pPr>
        <w:widowControl/>
        <w:shd w:val="clear"/>
        <w:jc w:val="left"/>
        <w:rPr>
          <w:rFonts w:hint="eastAsia" w:ascii="仿宋_GB2312" w:hAnsi="Segoe UI" w:eastAsia="仿宋_GB2312" w:cs="Segoe UI"/>
          <w:b/>
          <w:bCs/>
          <w:color w:val="000000" w:themeColor="text1"/>
          <w:kern w:val="0"/>
          <w:sz w:val="28"/>
          <w:szCs w:val="28"/>
        </w:rPr>
      </w:pP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r>
        <w:rPr>
          <w:rFonts w:hint="eastAsia" w:ascii="仿宋" w:hAnsi="仿宋" w:eastAsia="仿宋" w:cs="仿宋"/>
          <w:sz w:val="22"/>
          <w:u w:val="single"/>
        </w:rPr>
        <w:t xml:space="preserve">             </w:t>
      </w:r>
      <w:r>
        <w:rPr>
          <w:rFonts w:hint="eastAsia" w:ascii="仿宋_GB2312" w:hAnsi="Segoe UI" w:eastAsia="仿宋_GB2312" w:cs="Segoe UI"/>
          <w:color w:val="000000" w:themeColor="text1"/>
          <w:kern w:val="0"/>
          <w:sz w:val="22"/>
        </w:rPr>
        <w:t>（签字或加盖个人名章）</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r>
        <w:rPr>
          <w:rFonts w:hint="eastAsia" w:ascii="仿宋" w:hAnsi="仿宋" w:eastAsia="仿宋" w:cs="仿宋"/>
          <w:sz w:val="22"/>
          <w:u w:val="single"/>
        </w:rPr>
        <w:t xml:space="preserve">             </w:t>
      </w:r>
      <w:r>
        <w:rPr>
          <w:rFonts w:hint="eastAsia" w:ascii="仿宋_GB2312" w:hAnsi="Segoe UI" w:eastAsia="仿宋_GB2312" w:cs="Segoe UI"/>
          <w:color w:val="000000" w:themeColor="text1"/>
          <w:kern w:val="0"/>
          <w:sz w:val="22"/>
        </w:rPr>
        <w:t>（签字或加盖个人名章）</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9234"/>
      <w:bookmarkStart w:id="3" w:name="_Toc21163"/>
      <w:bookmarkStart w:id="4" w:name="_Toc15614"/>
      <w:bookmarkStart w:id="5" w:name="_Toc21676"/>
      <w:bookmarkStart w:id="6" w:name="_Toc34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5499"/>
      <w:bookmarkStart w:id="8" w:name="_Toc5208"/>
      <w:bookmarkStart w:id="9" w:name="_Toc12490"/>
      <w:bookmarkStart w:id="10" w:name="_Toc60"/>
      <w:bookmarkStart w:id="11" w:name="_Toc14802"/>
      <w:bookmarkStart w:id="12" w:name="_Toc11076"/>
      <w:bookmarkStart w:id="13" w:name="_Toc30275"/>
      <w:bookmarkStart w:id="14" w:name="_Toc30494"/>
      <w:bookmarkStart w:id="15" w:name="_Toc1068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30724"/>
      <w:bookmarkStart w:id="17" w:name="_Toc3081"/>
      <w:bookmarkStart w:id="18" w:name="_Toc13021"/>
      <w:bookmarkStart w:id="19" w:name="_Toc10183"/>
      <w:bookmarkStart w:id="20" w:name="_Toc7067"/>
      <w:bookmarkStart w:id="21" w:name="_Toc26481"/>
      <w:bookmarkStart w:id="22" w:name="_Toc28103"/>
      <w:bookmarkStart w:id="23" w:name="_Toc3912"/>
      <w:bookmarkStart w:id="24" w:name="_Toc10948"/>
      <w:bookmarkStart w:id="25" w:name="_Toc32214"/>
      <w:bookmarkStart w:id="26" w:name="_Toc9131"/>
      <w:bookmarkStart w:id="27" w:name="_Toc3392"/>
      <w:bookmarkStart w:id="28" w:name="_Toc18513"/>
      <w:bookmarkStart w:id="29" w:name="_Toc18879"/>
      <w:bookmarkStart w:id="30" w:name="_Toc8717"/>
      <w:bookmarkStart w:id="31" w:name="_Toc19115"/>
      <w:bookmarkStart w:id="32" w:name="_Toc3447"/>
      <w:bookmarkStart w:id="33" w:name="_Toc30080"/>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9042"/>
      <w:bookmarkStart w:id="35" w:name="_Toc22795"/>
      <w:bookmarkStart w:id="36" w:name="_Toc10142"/>
      <w:bookmarkStart w:id="37" w:name="_Toc30649"/>
      <w:bookmarkStart w:id="38" w:name="_Toc23645"/>
      <w:bookmarkStart w:id="39" w:name="_Toc30920"/>
      <w:bookmarkStart w:id="40" w:name="_Toc7249"/>
      <w:bookmarkStart w:id="41" w:name="_Toc15196"/>
      <w:bookmarkStart w:id="42" w:name="_Toc18259"/>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1988"/>
      <w:bookmarkStart w:id="46" w:name="_Toc3534"/>
      <w:bookmarkStart w:id="47" w:name="_Toc19600"/>
      <w:bookmarkStart w:id="48" w:name="_Toc24117"/>
      <w:bookmarkStart w:id="49" w:name="_Toc3004"/>
      <w:bookmarkStart w:id="50" w:name="_Toc30083"/>
      <w:bookmarkStart w:id="51" w:name="_Toc25516"/>
      <w:bookmarkStart w:id="52" w:name="_Toc26548"/>
      <w:bookmarkStart w:id="53" w:name="_Toc4775"/>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2198"/>
      <w:bookmarkStart w:id="55" w:name="_Toc12333"/>
      <w:bookmarkStart w:id="56" w:name="_Toc32166"/>
      <w:bookmarkStart w:id="57" w:name="_Toc23192"/>
      <w:bookmarkStart w:id="58" w:name="_Toc3494"/>
      <w:bookmarkStart w:id="59" w:name="_Toc16764"/>
      <w:bookmarkStart w:id="60" w:name="_Toc27376"/>
      <w:bookmarkStart w:id="61" w:name="_Toc14887"/>
      <w:bookmarkStart w:id="62" w:name="_Toc16666"/>
      <w:bookmarkStart w:id="63" w:name="_Toc691"/>
      <w:bookmarkStart w:id="64" w:name="_Toc21982"/>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4577"/>
      <w:bookmarkStart w:id="66" w:name="_Toc31581"/>
      <w:bookmarkStart w:id="67" w:name="_Toc3943"/>
      <w:bookmarkStart w:id="68" w:name="_Toc9263"/>
      <w:bookmarkStart w:id="69" w:name="_Toc5412"/>
      <w:bookmarkStart w:id="70" w:name="_Toc1371"/>
      <w:bookmarkStart w:id="71" w:name="_Toc14269"/>
      <w:bookmarkStart w:id="72" w:name="_Toc11914"/>
      <w:bookmarkStart w:id="73" w:name="_Toc25068"/>
      <w:bookmarkStart w:id="74" w:name="_Toc22606"/>
      <w:bookmarkStart w:id="75" w:name="_Toc1001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3267"/>
      <w:bookmarkStart w:id="77" w:name="_Toc17108"/>
      <w:bookmarkStart w:id="78" w:name="_Toc2316"/>
      <w:bookmarkStart w:id="79" w:name="_Toc10600"/>
      <w:bookmarkStart w:id="80" w:name="_Toc29190"/>
      <w:bookmarkStart w:id="81" w:name="_Toc3908"/>
      <w:bookmarkStart w:id="82" w:name="_Toc31890"/>
      <w:bookmarkStart w:id="83" w:name="_Toc2937"/>
      <w:bookmarkStart w:id="84" w:name="_Toc13677"/>
      <w:bookmarkStart w:id="85" w:name="_Toc18935"/>
      <w:bookmarkStart w:id="86" w:name="_Toc11489"/>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24122"/>
      <w:bookmarkStart w:id="88" w:name="_Toc15916"/>
      <w:bookmarkStart w:id="89" w:name="_Toc12088"/>
      <w:bookmarkStart w:id="90" w:name="_Toc1313"/>
      <w:bookmarkStart w:id="91" w:name="_Toc32365"/>
      <w:bookmarkStart w:id="92" w:name="_Toc26756"/>
      <w:bookmarkStart w:id="93" w:name="_Toc21351"/>
      <w:bookmarkStart w:id="94" w:name="_Toc31638"/>
      <w:bookmarkStart w:id="95" w:name="_Toc14252"/>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bookmarkStart w:id="97" w:name="_Toc27948"/>
      <w:bookmarkStart w:id="98" w:name="_Toc23212"/>
      <w:bookmarkStart w:id="99" w:name="_Toc9398"/>
      <w:bookmarkStart w:id="100" w:name="_Toc10583"/>
      <w:bookmarkStart w:id="101" w:name="_Toc19589"/>
      <w:bookmarkStart w:id="102" w:name="_Toc22760"/>
      <w:bookmarkStart w:id="103" w:name="_Toc27985"/>
      <w:bookmarkStart w:id="104" w:name="_Toc18046"/>
      <w:bookmarkStart w:id="105" w:name="_Toc11278"/>
      <w:bookmarkStart w:id="106" w:name="_Toc26609"/>
      <w:bookmarkStart w:id="107" w:name="_Toc15083"/>
      <w:bookmarkStart w:id="108" w:name="_Toc15894"/>
      <w:bookmarkStart w:id="109" w:name="_Toc29215"/>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17204"/>
      <w:bookmarkStart w:id="111" w:name="_Toc27767"/>
      <w:bookmarkStart w:id="112" w:name="_Toc14546"/>
      <w:bookmarkStart w:id="113" w:name="_Toc8348"/>
      <w:bookmarkStart w:id="114" w:name="_Toc29648"/>
      <w:bookmarkStart w:id="115" w:name="_Toc24655"/>
      <w:bookmarkStart w:id="116" w:name="_Toc8940"/>
      <w:bookmarkStart w:id="117" w:name="_Toc8083"/>
      <w:bookmarkStart w:id="118" w:name="_Toc4116"/>
      <w:bookmarkStart w:id="119" w:name="_Toc757"/>
      <w:bookmarkStart w:id="120" w:name="_Toc17741"/>
      <w:bookmarkStart w:id="121" w:name="_Toc24107"/>
      <w:bookmarkStart w:id="122" w:name="_Toc24671"/>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0950"/>
      <w:bookmarkStart w:id="124" w:name="_Toc22243"/>
      <w:bookmarkStart w:id="125" w:name="_Toc2003"/>
      <w:bookmarkStart w:id="126" w:name="_Toc5840"/>
      <w:bookmarkStart w:id="127" w:name="_Toc15917"/>
      <w:bookmarkStart w:id="128" w:name="_Toc14781"/>
      <w:bookmarkStart w:id="129" w:name="_Toc10308"/>
      <w:bookmarkStart w:id="130" w:name="_Toc12682"/>
      <w:bookmarkStart w:id="131" w:name="_Toc8524"/>
      <w:bookmarkStart w:id="132" w:name="_Toc20745"/>
      <w:bookmarkStart w:id="133" w:name="_Toc10945"/>
      <w:bookmarkStart w:id="134" w:name="_Toc24280"/>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 w:hAnsi="仿宋" w:eastAsia="仿宋" w:cs="仿宋"/>
          <w:sz w:val="22"/>
          <w:u w:val="single"/>
        </w:rPr>
        <w:t xml:space="preserve">             </w:t>
      </w:r>
      <w:r>
        <w:rPr>
          <w:rFonts w:hint="eastAsia" w:ascii="仿宋_GB2312" w:hAnsi="Segoe UI" w:eastAsia="仿宋_GB2312" w:cs="Segoe UI"/>
          <w:color w:val="000000" w:themeColor="text1"/>
          <w:kern w:val="0"/>
          <w:sz w:val="22"/>
        </w:rPr>
        <w:t>（签字或加盖个人名章）</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hint="default"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医保码</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w:t>
      </w:r>
      <w:r>
        <w:rPr>
          <w:rFonts w:hint="eastAsia" w:ascii="仿宋_GB2312" w:hAnsi="Segoe UI" w:eastAsia="仿宋_GB2312" w:cs="Segoe UI"/>
          <w:color w:val="000000" w:themeColor="text1"/>
          <w:kern w:val="0"/>
          <w:sz w:val="24"/>
          <w:szCs w:val="24"/>
          <w:lang w:val="en-US" w:eastAsia="zh-CN"/>
        </w:rPr>
        <w:t>单位</w:t>
      </w:r>
      <w:r>
        <w:rPr>
          <w:rFonts w:hint="eastAsia" w:ascii="仿宋_GB2312" w:hAnsi="Segoe UI" w:eastAsia="仿宋_GB2312" w:cs="Segoe UI"/>
          <w:color w:val="000000" w:themeColor="text1"/>
          <w:kern w:val="0"/>
          <w:sz w:val="24"/>
          <w:szCs w:val="24"/>
        </w:rPr>
        <w:t>名称：</w:t>
      </w:r>
      <w:r>
        <w:rPr>
          <w:rFonts w:hint="eastAsia" w:ascii="仿宋_GB2312" w:hAnsi="Segoe UI" w:eastAsia="仿宋_GB2312" w:cs="Segoe UI"/>
          <w:color w:val="000000" w:themeColor="text1"/>
          <w:kern w:val="0"/>
          <w:sz w:val="24"/>
          <w:szCs w:val="24"/>
          <w:u w:val="single"/>
        </w:rPr>
        <w:t xml:space="preserve">                             </w:t>
      </w:r>
      <w:r>
        <w:rPr>
          <w:rFonts w:hint="eastAsia" w:ascii="仿宋_GB2312" w:hAnsi="Segoe UI" w:eastAsia="仿宋_GB2312" w:cs="Segoe UI"/>
          <w:color w:val="000000" w:themeColor="text1"/>
          <w:kern w:val="0"/>
          <w:sz w:val="24"/>
          <w:szCs w:val="24"/>
          <w:u w:val="single"/>
          <w:lang w:val="en-US" w:eastAsia="zh-CN"/>
        </w:rPr>
        <w:t xml:space="preserve"> </w:t>
      </w:r>
      <w:r>
        <w:rPr>
          <w:rFonts w:hint="eastAsia" w:ascii="仿宋_GB2312" w:hAnsi="Segoe UI" w:eastAsia="仿宋_GB2312" w:cs="Segoe UI"/>
          <w:color w:val="000000" w:themeColor="text1"/>
          <w:kern w:val="0"/>
          <w:sz w:val="24"/>
          <w:szCs w:val="24"/>
        </w:rPr>
        <w:t>（单位公章）</w:t>
      </w:r>
    </w:p>
    <w:p>
      <w:pPr>
        <w:widowControl/>
        <w:shd w:val="clear" w:color="auto"/>
        <w:wordWrap w:val="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法定代表人或授权代表签字：</w:t>
      </w:r>
      <w:r>
        <w:rPr>
          <w:rFonts w:hint="eastAsia" w:ascii="仿宋" w:hAnsi="仿宋" w:eastAsia="仿宋" w:cs="仿宋"/>
          <w:sz w:val="22"/>
          <w:u w:val="single"/>
        </w:rPr>
        <w:t xml:space="preserve">             </w:t>
      </w:r>
      <w:r>
        <w:rPr>
          <w:rFonts w:hint="eastAsia" w:ascii="仿宋_GB2312" w:hAnsi="Segoe UI" w:eastAsia="仿宋_GB2312" w:cs="Segoe UI"/>
          <w:color w:val="000000" w:themeColor="text1"/>
          <w:kern w:val="0"/>
          <w:sz w:val="24"/>
          <w:szCs w:val="24"/>
        </w:rPr>
        <w:t>（签字或加盖个人名章）</w:t>
      </w:r>
      <w:r>
        <w:rPr>
          <w:rFonts w:hint="eastAsia" w:ascii="仿宋_GB2312" w:hAnsi="Segoe UI" w:eastAsia="仿宋_GB2312" w:cs="Segoe UI"/>
          <w:color w:val="000000" w:themeColor="text1"/>
          <w:kern w:val="0"/>
          <w:sz w:val="24"/>
          <w:szCs w:val="24"/>
          <w:lang w:val="en-US" w:eastAsia="zh-CN"/>
        </w:rPr>
        <w:t xml:space="preserve">                    </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r>
        <w:rPr>
          <w:rFonts w:hint="eastAsia" w:ascii="仿宋" w:hAnsi="仿宋" w:eastAsia="仿宋" w:cs="仿宋"/>
          <w:sz w:val="22"/>
          <w:u w:val="single"/>
        </w:rPr>
        <w:t xml:space="preserve">             </w:t>
      </w:r>
      <w:r>
        <w:rPr>
          <w:rFonts w:hint="eastAsia" w:ascii="仿宋_GB2312" w:hAnsi="Segoe UI" w:eastAsia="仿宋_GB2312" w:cs="Segoe UI"/>
          <w:color w:val="000000" w:themeColor="text1"/>
          <w:kern w:val="0"/>
          <w:sz w:val="22"/>
        </w:rPr>
        <w:t>（签字或加盖个人名章）</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r>
        <w:rPr>
          <w:rFonts w:hint="eastAsia" w:ascii="仿宋" w:hAnsi="仿宋" w:eastAsia="仿宋" w:cs="仿宋"/>
          <w:sz w:val="22"/>
          <w:u w:val="single"/>
        </w:rPr>
        <w:t xml:space="preserve">             </w:t>
      </w:r>
      <w:r>
        <w:rPr>
          <w:rFonts w:hint="eastAsia" w:ascii="仿宋_GB2312" w:hAnsi="Segoe UI" w:eastAsia="仿宋_GB2312" w:cs="Segoe UI"/>
          <w:color w:val="000000" w:themeColor="text1"/>
          <w:kern w:val="0"/>
          <w:sz w:val="22"/>
        </w:rPr>
        <w:t>（签字或加盖个人名章）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供应商单位</w:t>
      </w:r>
      <w:r>
        <w:rPr>
          <w:rFonts w:hint="eastAsia" w:ascii="仿宋_GB2312" w:hAnsi="Segoe UI" w:eastAsia="仿宋_GB2312" w:cs="Segoe UI"/>
          <w:color w:val="000000" w:themeColor="text1"/>
          <w:kern w:val="0"/>
          <w:sz w:val="24"/>
          <w:szCs w:val="24"/>
        </w:rPr>
        <w:t>名称：</w:t>
      </w:r>
      <w:r>
        <w:rPr>
          <w:rFonts w:hint="eastAsia" w:ascii="仿宋_GB2312" w:hAnsi="Segoe UI" w:eastAsia="仿宋_GB2312" w:cs="Segoe UI"/>
          <w:color w:val="000000" w:themeColor="text1"/>
          <w:kern w:val="0"/>
          <w:sz w:val="24"/>
          <w:szCs w:val="24"/>
          <w:u w:val="single"/>
        </w:rPr>
        <w:t xml:space="preserve">                             </w:t>
      </w:r>
      <w:r>
        <w:rPr>
          <w:rFonts w:hint="eastAsia" w:ascii="仿宋_GB2312" w:hAnsi="Segoe UI" w:eastAsia="仿宋_GB2312" w:cs="Segoe UI"/>
          <w:color w:val="000000" w:themeColor="text1"/>
          <w:kern w:val="0"/>
          <w:sz w:val="24"/>
          <w:szCs w:val="24"/>
          <w:u w:val="single"/>
          <w:lang w:val="en-US" w:eastAsia="zh-CN"/>
        </w:rPr>
        <w:t xml:space="preserve"> </w:t>
      </w:r>
      <w:r>
        <w:rPr>
          <w:rFonts w:hint="eastAsia" w:ascii="仿宋_GB2312" w:hAnsi="Segoe UI" w:eastAsia="仿宋_GB2312" w:cs="Segoe UI"/>
          <w:color w:val="000000" w:themeColor="text1"/>
          <w:kern w:val="0"/>
          <w:sz w:val="24"/>
          <w:szCs w:val="24"/>
        </w:rPr>
        <w:t>（单位公章）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六、采购</w:t>
      </w:r>
      <w:r>
        <w:rPr>
          <w:rFonts w:hint="eastAsia" w:ascii="仿宋_GB2312" w:hAnsi="Segoe UI" w:eastAsia="仿宋_GB2312" w:cs="Segoe UI"/>
          <w:color w:val="000000" w:themeColor="text1"/>
          <w:kern w:val="0"/>
          <w:sz w:val="24"/>
          <w:szCs w:val="24"/>
          <w:lang w:val="en-US" w:eastAsia="zh-CN"/>
        </w:rPr>
        <w:t>项目</w:t>
      </w:r>
      <w:r>
        <w:rPr>
          <w:rFonts w:hint="eastAsia" w:ascii="仿宋_GB2312" w:hAnsi="Segoe UI" w:eastAsia="仿宋_GB2312" w:cs="Segoe UI"/>
          <w:color w:val="000000" w:themeColor="text1"/>
          <w:kern w:val="0"/>
          <w:sz w:val="24"/>
          <w:szCs w:val="24"/>
        </w:rPr>
        <w:t>名称：</w:t>
      </w:r>
      <w:r>
        <w:rPr>
          <w:rFonts w:hint="eastAsia" w:ascii="仿宋_GB2312" w:hAnsi="Segoe UI" w:eastAsia="仿宋_GB2312" w:cs="Segoe UI"/>
          <w:color w:val="000000" w:themeColor="text1"/>
          <w:kern w:val="0"/>
          <w:sz w:val="24"/>
          <w:szCs w:val="24"/>
          <w:u w:val="single"/>
          <w:lang w:val="en-US" w:eastAsia="zh-CN"/>
        </w:rPr>
        <w:t xml:space="preserve">                               </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r>
        <w:rPr>
          <w:rFonts w:hint="eastAsia" w:ascii="宋体" w:hAnsi="宋体" w:eastAsia="宋体" w:cs="Segoe UI"/>
          <w:color w:val="000000" w:themeColor="text1"/>
          <w:kern w:val="0"/>
          <w:sz w:val="24"/>
          <w:szCs w:val="24"/>
        </w:rPr>
        <w:t> </w:t>
      </w:r>
      <w:r>
        <w:rPr>
          <w:rFonts w:hint="eastAsia" w:ascii="仿宋_GB2312" w:hAnsi="Segoe UI" w:eastAsia="仿宋_GB2312" w:cs="Segoe UI"/>
          <w:color w:val="000000" w:themeColor="text1"/>
          <w:kern w:val="0"/>
          <w:sz w:val="24"/>
          <w:szCs w:val="24"/>
        </w:rPr>
        <w:t>本《承诺书》一式二份（一份由承诺人自存；一份随竞价书传递）</w:t>
      </w:r>
    </w:p>
    <w:p>
      <w:pPr>
        <w:pStyle w:val="2"/>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承诺企业名称</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u w:val="single"/>
        </w:rPr>
        <w:t xml:space="preserve">                             </w:t>
      </w:r>
      <w:r>
        <w:rPr>
          <w:rFonts w:hint="eastAsia" w:ascii="仿宋_GB2312" w:hAnsi="Segoe UI" w:eastAsia="仿宋_GB2312" w:cs="Segoe UI"/>
          <w:color w:val="000000" w:themeColor="text1"/>
          <w:kern w:val="0"/>
          <w:sz w:val="24"/>
          <w:szCs w:val="24"/>
          <w:u w:val="single"/>
          <w:lang w:val="en-US" w:eastAsia="zh-CN"/>
        </w:rPr>
        <w:t xml:space="preserve"> </w:t>
      </w:r>
      <w:r>
        <w:rPr>
          <w:rFonts w:hint="eastAsia" w:ascii="仿宋_GB2312" w:hAnsi="Segoe UI" w:eastAsia="仿宋_GB2312" w:cs="Segoe UI"/>
          <w:color w:val="000000" w:themeColor="text1"/>
          <w:kern w:val="0"/>
          <w:sz w:val="24"/>
          <w:szCs w:val="24"/>
        </w:rPr>
        <w:t>（单位公章）</w:t>
      </w:r>
      <w:r>
        <w:rPr>
          <w:rFonts w:hint="eastAsia" w:ascii="仿宋_GB2312" w:hAnsi="Segoe UI" w:eastAsia="仿宋_GB2312" w:cs="Segoe UI"/>
          <w:color w:val="000000" w:themeColor="text1"/>
          <w:kern w:val="0"/>
          <w:sz w:val="24"/>
          <w:szCs w:val="24"/>
          <w:lang w:val="en-US" w:eastAsia="zh-CN"/>
        </w:rPr>
        <w:t xml:space="preserve">                        </w:t>
      </w:r>
    </w:p>
    <w:p>
      <w:pPr>
        <w:widowControl/>
        <w:shd w:val="clear" w:color="auto"/>
        <w:wordWrap w:val="0"/>
        <w:spacing w:line="270" w:lineRule="atLeast"/>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法人代表或委托代理人（承诺人）</w:t>
      </w:r>
      <w:r>
        <w:rPr>
          <w:rFonts w:hint="eastAsia" w:ascii="仿宋_GB2312" w:hAnsi="Segoe UI" w:eastAsia="仿宋_GB2312" w:cs="Segoe UI"/>
          <w:color w:val="000000" w:themeColor="text1"/>
          <w:kern w:val="0"/>
          <w:sz w:val="24"/>
          <w:szCs w:val="24"/>
          <w:lang w:val="en-US" w:eastAsia="zh-CN"/>
        </w:rPr>
        <w:t>签字：</w:t>
      </w:r>
      <w:r>
        <w:rPr>
          <w:rFonts w:hint="eastAsia" w:ascii="仿宋_GB2312" w:hAnsi="Segoe UI" w:eastAsia="仿宋_GB2312" w:cs="Segoe UI"/>
          <w:color w:val="000000" w:themeColor="text1"/>
          <w:kern w:val="0"/>
          <w:sz w:val="24"/>
          <w:szCs w:val="24"/>
          <w:u w:val="single"/>
          <w:lang w:val="en-US" w:eastAsia="zh-CN"/>
        </w:rPr>
        <w:t xml:space="preserve">                  </w:t>
      </w:r>
      <w:r>
        <w:rPr>
          <w:rFonts w:hint="eastAsia" w:ascii="仿宋_GB2312" w:hAnsi="Segoe UI" w:eastAsia="仿宋_GB2312" w:cs="Segoe UI"/>
          <w:color w:val="000000" w:themeColor="text1"/>
          <w:kern w:val="0"/>
          <w:sz w:val="24"/>
          <w:szCs w:val="24"/>
        </w:rPr>
        <w:t>（签字或加盖个人名章）</w:t>
      </w:r>
      <w:r>
        <w:rPr>
          <w:rFonts w:hint="eastAsia" w:ascii="仿宋_GB2312" w:hAnsi="Segoe UI" w:eastAsia="仿宋_GB2312" w:cs="Segoe UI"/>
          <w:color w:val="000000" w:themeColor="text1"/>
          <w:kern w:val="0"/>
          <w:sz w:val="24"/>
          <w:szCs w:val="24"/>
          <w:lang w:val="en-US" w:eastAsia="zh-CN"/>
        </w:rPr>
        <w:t xml:space="preserve">  </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wordWrap w:val="0"/>
        <w:ind w:firstLine="560" w:firstLineChars="200"/>
        <w:jc w:val="left"/>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供应商</w:t>
      </w:r>
      <w:r>
        <w:rPr>
          <w:rFonts w:hint="eastAsia" w:ascii="仿宋_GB2312" w:hAnsi="仿宋_GB2312" w:eastAsia="仿宋_GB2312" w:cs="仿宋_GB2312"/>
          <w:color w:val="000000" w:themeColor="text1"/>
          <w:kern w:val="0"/>
          <w:sz w:val="28"/>
          <w:szCs w:val="28"/>
          <w:lang w:val="en-US" w:eastAsia="zh-CN"/>
        </w:rPr>
        <w:t>单位</w:t>
      </w:r>
      <w:r>
        <w:rPr>
          <w:rFonts w:hint="eastAsia" w:ascii="仿宋_GB2312" w:hAnsi="仿宋_GB2312" w:eastAsia="仿宋_GB2312" w:cs="仿宋_GB2312"/>
          <w:color w:val="000000" w:themeColor="text1"/>
          <w:kern w:val="0"/>
          <w:sz w:val="28"/>
          <w:szCs w:val="28"/>
        </w:rPr>
        <w:t>名称：</w:t>
      </w:r>
      <w:r>
        <w:rPr>
          <w:rFonts w:hint="eastAsia" w:ascii="仿宋_GB2312" w:hAnsi="仿宋_GB2312" w:eastAsia="仿宋_GB2312" w:cs="仿宋_GB2312"/>
          <w:color w:val="000000" w:themeColor="text1"/>
          <w:kern w:val="0"/>
          <w:sz w:val="28"/>
          <w:szCs w:val="28"/>
          <w:u w:val="single"/>
        </w:rPr>
        <w:t xml:space="preserve">                             </w:t>
      </w:r>
      <w:r>
        <w:rPr>
          <w:rFonts w:hint="eastAsia" w:ascii="仿宋_GB2312" w:hAnsi="仿宋_GB2312" w:eastAsia="仿宋_GB2312" w:cs="仿宋_GB2312"/>
          <w:color w:val="000000" w:themeColor="text1"/>
          <w:kern w:val="0"/>
          <w:sz w:val="28"/>
          <w:szCs w:val="28"/>
          <w:u w:val="single"/>
          <w:lang w:val="en-US" w:eastAsia="zh-CN"/>
        </w:rPr>
        <w:t xml:space="preserve"> </w:t>
      </w:r>
      <w:r>
        <w:rPr>
          <w:rFonts w:hint="eastAsia" w:ascii="仿宋_GB2312" w:hAnsi="仿宋_GB2312" w:eastAsia="仿宋_GB2312" w:cs="仿宋_GB2312"/>
          <w:color w:val="000000" w:themeColor="text1"/>
          <w:kern w:val="0"/>
          <w:sz w:val="28"/>
          <w:szCs w:val="28"/>
        </w:rPr>
        <w:t>（单位公章）</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kern w:val="0"/>
          <w:sz w:val="28"/>
          <w:szCs w:val="28"/>
        </w:rPr>
        <w:t>法定代表人或授权代表签字：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themeColor="text1"/>
          <w:kern w:val="0"/>
          <w:sz w:val="28"/>
          <w:szCs w:val="28"/>
        </w:rPr>
        <w:t>（签字或加盖个人名章）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仿宋_GB2312" w:eastAsia="仿宋_GB2312" w:cs="仿宋_GB2312"/>
          <w:sz w:val="28"/>
          <w:szCs w:val="28"/>
        </w:rPr>
        <w:t xml:space="preserve">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jc w:val="center"/>
        <w:rPr>
          <w:rFonts w:hint="eastAsia" w:ascii="仿宋_GB2312" w:hAnsi="仿宋_GB2312" w:eastAsia="仿宋_GB2312" w:cs="仿宋_GB2312"/>
          <w:b/>
          <w:bCs/>
          <w:kern w:val="2"/>
          <w:sz w:val="28"/>
          <w:szCs w:val="28"/>
          <w:lang w:val="en-US" w:eastAsia="zh-CN" w:bidi="ar-SA"/>
        </w:rPr>
      </w:pPr>
    </w:p>
    <w:p>
      <w:pPr>
        <w:pStyle w:val="2"/>
        <w:jc w:val="center"/>
        <w:rPr>
          <w:rFonts w:hint="default"/>
          <w:lang w:val="en-US" w:eastAsia="zh-CN"/>
        </w:rPr>
      </w:pPr>
      <w:r>
        <w:rPr>
          <w:rFonts w:hint="eastAsia" w:ascii="仿宋_GB2312" w:hAnsi="仿宋_GB2312" w:eastAsia="仿宋_GB2312" w:cs="仿宋_GB2312"/>
          <w:b/>
          <w:bCs/>
          <w:kern w:val="2"/>
          <w:sz w:val="28"/>
          <w:szCs w:val="28"/>
          <w:lang w:val="en-US" w:eastAsia="zh-CN" w:bidi="ar-SA"/>
        </w:rPr>
        <w:t>供应商遵守招标采购纪律承诺书</w:t>
      </w:r>
    </w:p>
    <w:p>
      <w:pPr>
        <w:widowControl/>
        <w:shd w:val="clear" w:color="auto"/>
        <w:wordWrap w:val="0"/>
        <w:jc w:val="left"/>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color w:val="000000" w:themeColor="text1"/>
          <w:kern w:val="0"/>
          <w:sz w:val="28"/>
          <w:szCs w:val="28"/>
        </w:rPr>
        <w:t>供应商</w:t>
      </w:r>
      <w:r>
        <w:rPr>
          <w:rFonts w:hint="eastAsia" w:ascii="仿宋_GB2312" w:hAnsi="仿宋_GB2312" w:eastAsia="仿宋_GB2312" w:cs="仿宋_GB2312"/>
          <w:color w:val="000000" w:themeColor="text1"/>
          <w:kern w:val="0"/>
          <w:sz w:val="28"/>
          <w:szCs w:val="28"/>
          <w:lang w:val="en-US" w:eastAsia="zh-CN"/>
        </w:rPr>
        <w:t>单位</w:t>
      </w:r>
      <w:r>
        <w:rPr>
          <w:rFonts w:hint="eastAsia" w:ascii="仿宋_GB2312" w:hAnsi="仿宋_GB2312" w:eastAsia="仿宋_GB2312" w:cs="仿宋_GB2312"/>
          <w:color w:val="000000" w:themeColor="text1"/>
          <w:kern w:val="0"/>
          <w:sz w:val="28"/>
          <w:szCs w:val="28"/>
        </w:rPr>
        <w:t>名称：</w:t>
      </w:r>
      <w:r>
        <w:rPr>
          <w:rFonts w:hint="eastAsia" w:ascii="仿宋_GB2312" w:hAnsi="仿宋_GB2312" w:eastAsia="仿宋_GB2312" w:cs="仿宋_GB2312"/>
          <w:color w:val="000000" w:themeColor="text1"/>
          <w:kern w:val="0"/>
          <w:sz w:val="28"/>
          <w:szCs w:val="28"/>
          <w:u w:val="single"/>
        </w:rPr>
        <w:t xml:space="preserve">                             </w:t>
      </w:r>
      <w:r>
        <w:rPr>
          <w:rFonts w:hint="eastAsia" w:ascii="仿宋_GB2312" w:hAnsi="仿宋_GB2312" w:eastAsia="仿宋_GB2312" w:cs="仿宋_GB2312"/>
          <w:color w:val="000000" w:themeColor="text1"/>
          <w:kern w:val="0"/>
          <w:sz w:val="28"/>
          <w:szCs w:val="28"/>
          <w:u w:val="single"/>
          <w:lang w:val="en-US" w:eastAsia="zh-CN"/>
        </w:rPr>
        <w:t xml:space="preserve"> </w:t>
      </w:r>
      <w:r>
        <w:rPr>
          <w:rFonts w:hint="eastAsia" w:ascii="仿宋_GB2312" w:hAnsi="仿宋_GB2312" w:eastAsia="仿宋_GB2312" w:cs="仿宋_GB2312"/>
          <w:color w:val="000000" w:themeColor="text1"/>
          <w:kern w:val="0"/>
          <w:sz w:val="28"/>
          <w:szCs w:val="28"/>
        </w:rPr>
        <w:t>（单位公章）</w:t>
      </w:r>
    </w:p>
    <w:p>
      <w:pPr>
        <w:pStyle w:val="2"/>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themeColor="text1"/>
          <w:kern w:val="0"/>
          <w:sz w:val="28"/>
          <w:szCs w:val="28"/>
        </w:rPr>
        <w:t>法定代表人或授权代表签字：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themeColor="text1"/>
          <w:kern w:val="0"/>
          <w:sz w:val="28"/>
          <w:szCs w:val="28"/>
        </w:rPr>
        <w:t>（签字或加盖个人名章）</w:t>
      </w:r>
      <w:r>
        <w:rPr>
          <w:rFonts w:hint="eastAsia" w:ascii="仿宋_GB2312" w:hAnsi="仿宋_GB2312" w:eastAsia="仿宋_GB2312" w:cs="仿宋_GB2312"/>
          <w:color w:val="000000" w:themeColor="text1"/>
          <w:kern w:val="0"/>
          <w:sz w:val="28"/>
          <w:szCs w:val="28"/>
          <w:lang w:val="en-US" w:eastAsia="zh-CN"/>
        </w:rPr>
        <w:t xml:space="preserve"> </w:t>
      </w:r>
    </w:p>
    <w:p>
      <w:pPr>
        <w:jc w:val="left"/>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bookmarkStart w:id="135" w:name="_GoBack"/>
      <w:bookmarkEnd w:id="135"/>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5BDBCA"/>
    <w:multiLevelType w:val="singleLevel"/>
    <w:tmpl w:val="E25BDBCA"/>
    <w:lvl w:ilvl="0" w:tentative="0">
      <w:start w:val="2"/>
      <w:numFmt w:val="decimal"/>
      <w:suff w:val="space"/>
      <w:lvlText w:val="%1."/>
      <w:lvlJc w:val="left"/>
    </w:lvl>
  </w:abstractNum>
  <w:abstractNum w:abstractNumId="1">
    <w:nsid w:val="0723BC51"/>
    <w:multiLevelType w:val="singleLevel"/>
    <w:tmpl w:val="0723BC51"/>
    <w:lvl w:ilvl="0" w:tentative="0">
      <w:start w:val="1"/>
      <w:numFmt w:val="decimal"/>
      <w:lvlText w:val="%1."/>
      <w:lvlJc w:val="left"/>
      <w:pPr>
        <w:tabs>
          <w:tab w:val="left" w:pos="312"/>
        </w:tabs>
      </w:pPr>
    </w:lvl>
  </w:abstractNum>
  <w:abstractNum w:abstractNumId="2">
    <w:nsid w:val="4D57B745"/>
    <w:multiLevelType w:val="singleLevel"/>
    <w:tmpl w:val="4D57B745"/>
    <w:lvl w:ilvl="0" w:tentative="0">
      <w:start w:val="1"/>
      <w:numFmt w:val="chineseCounting"/>
      <w:suff w:val="nothing"/>
      <w:lvlText w:val="%1、"/>
      <w:lvlJc w:val="left"/>
      <w:rPr>
        <w:rFonts w:hint="eastAsia"/>
      </w:rPr>
    </w:lvl>
  </w:abstractNum>
  <w:abstractNum w:abstractNumId="3">
    <w:nsid w:val="5BBF2B76"/>
    <w:multiLevelType w:val="singleLevel"/>
    <w:tmpl w:val="5BBF2B76"/>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53A5330"/>
    <w:rsid w:val="06A0703E"/>
    <w:rsid w:val="07953CAB"/>
    <w:rsid w:val="07B925A7"/>
    <w:rsid w:val="0BF815CE"/>
    <w:rsid w:val="0E911C5D"/>
    <w:rsid w:val="10954EC2"/>
    <w:rsid w:val="12A81059"/>
    <w:rsid w:val="13485B4A"/>
    <w:rsid w:val="14456F80"/>
    <w:rsid w:val="195D2073"/>
    <w:rsid w:val="1A37043E"/>
    <w:rsid w:val="228C2840"/>
    <w:rsid w:val="26D9225C"/>
    <w:rsid w:val="272816FC"/>
    <w:rsid w:val="28203DA9"/>
    <w:rsid w:val="2E811DD5"/>
    <w:rsid w:val="357C4381"/>
    <w:rsid w:val="364F4E7F"/>
    <w:rsid w:val="365344A5"/>
    <w:rsid w:val="38BB478A"/>
    <w:rsid w:val="396510AC"/>
    <w:rsid w:val="3CD417F0"/>
    <w:rsid w:val="3ED3727D"/>
    <w:rsid w:val="405F3E1B"/>
    <w:rsid w:val="41EE0E8D"/>
    <w:rsid w:val="4669398D"/>
    <w:rsid w:val="48983A5D"/>
    <w:rsid w:val="4AE36A9A"/>
    <w:rsid w:val="4B7A520A"/>
    <w:rsid w:val="4C5E41EC"/>
    <w:rsid w:val="4EE10A0C"/>
    <w:rsid w:val="51CB3FD0"/>
    <w:rsid w:val="52373124"/>
    <w:rsid w:val="53914C7E"/>
    <w:rsid w:val="5536063D"/>
    <w:rsid w:val="55F211D3"/>
    <w:rsid w:val="56183BA8"/>
    <w:rsid w:val="577B25E6"/>
    <w:rsid w:val="5A467B72"/>
    <w:rsid w:val="5C452678"/>
    <w:rsid w:val="5EE419B3"/>
    <w:rsid w:val="5FEC0FA4"/>
    <w:rsid w:val="60795DD8"/>
    <w:rsid w:val="61DB5EE7"/>
    <w:rsid w:val="62FA0171"/>
    <w:rsid w:val="637366D0"/>
    <w:rsid w:val="63E72E68"/>
    <w:rsid w:val="64ED5044"/>
    <w:rsid w:val="65C660EF"/>
    <w:rsid w:val="65DA011F"/>
    <w:rsid w:val="66D20681"/>
    <w:rsid w:val="672843F4"/>
    <w:rsid w:val="6A052BEC"/>
    <w:rsid w:val="6A38583D"/>
    <w:rsid w:val="6C0F1984"/>
    <w:rsid w:val="6CF82393"/>
    <w:rsid w:val="6F2E7585"/>
    <w:rsid w:val="701306BF"/>
    <w:rsid w:val="70717D71"/>
    <w:rsid w:val="710D63F2"/>
    <w:rsid w:val="716610EA"/>
    <w:rsid w:val="71D57369"/>
    <w:rsid w:val="75233D75"/>
    <w:rsid w:val="77490A08"/>
    <w:rsid w:val="78BA1DAC"/>
    <w:rsid w:val="799A6260"/>
    <w:rsid w:val="7C560E66"/>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2024-08-02T03:19:25Z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