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0"/>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spacing w:line="340" w:lineRule="exact"/>
              <w:jc w:val="center"/>
              <w:rPr>
                <w:rFonts w:ascii="宋体" w:hAnsi="Times New Roman" w:eastAsia="宋体" w:cs="Times New Roman"/>
              </w:rPr>
            </w:pPr>
            <w:r>
              <w:rPr>
                <w:rFonts w:hint="eastAsia" w:ascii="宋体" w:hAnsi="宋体" w:eastAsia="宋体"/>
                <w:lang w:val="en-US" w:eastAsia="zh-CN"/>
              </w:rPr>
              <w:t>心电监护仪</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2台</w:t>
            </w:r>
          </w:p>
        </w:tc>
        <w:tc>
          <w:tcPr>
            <w:tcW w:w="1233" w:type="pct"/>
            <w:vAlign w:val="center"/>
          </w:tcPr>
          <w:p>
            <w:pPr>
              <w:spacing w:line="420" w:lineRule="exact"/>
              <w:jc w:val="center"/>
              <w:rPr>
                <w:rFonts w:hint="default" w:ascii="宋体" w:hAnsi="Times New Roman" w:eastAsia="宋体" w:cs="Times New Roman"/>
                <w:lang w:val="en-US" w:eastAsia="zh-CN"/>
              </w:rPr>
            </w:pPr>
            <w:r>
              <w:rPr>
                <w:rFonts w:hint="eastAsia" w:ascii="宋体" w:hAnsi="Times New Roman" w:eastAsia="宋体" w:cs="Times New Roman"/>
                <w:lang w:val="en-US" w:eastAsia="zh-CN"/>
              </w:rPr>
              <w:t>2.2</w:t>
            </w:r>
          </w:p>
        </w:tc>
      </w:tr>
    </w:tbl>
    <w:p>
      <w:pPr>
        <w:pStyle w:val="13"/>
        <w:jc w:val="both"/>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spacing w:line="3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1.▲适用监测病人类型：新生儿、儿童、成人。</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2.▲显示屏：≥10寸彩色液晶显示屏，彩色高分辨率达≥800*600。</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3.一体化便携监护仪，配置提手，整机无风扇设计。</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 标准配置至少可监测心电、呼吸、无创血压、血氧饱和度、脉搏和体温。</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5.心电波形扫描速度至少包含6.25mm/s、12.5 mm/s、25 mm/s和50 mm/s。</w:t>
      </w:r>
    </w:p>
    <w:p>
      <w:pPr>
        <w:spacing w:line="3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6.▲支持提供过去24小时患者心率变化，包含患者平均心率、夜间平均心率、白天平均心率、最快心率和最慢心率等。</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7.▲血氧监测时配置支持PI血氧灌注指数的监测，有效反映血氧灌注情况</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8.▲无创血压测量，适用于新生儿、儿童、成人。</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9.▲无创血压支持手动、自动、连续和序列等4种测量模式。并提供≥24小时血压统计结果。</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10.无创血压成人测量范围：收缩压40-240mmHg，舒张压20-200mmHg。</w:t>
      </w:r>
    </w:p>
    <w:p>
      <w:pPr>
        <w:spacing w:line="3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11.具有声光报警功能</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12.具有数据存储功能，支持≥120小时趋势图和趋势表回顾，≥1000条事件回顾功能。</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13.≥120小时（分辨率1分钟）ST模板存储与回顾。支持≥48小时全息波形的存储与回顾功能。</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14.具备网络通信功能，支持实现中央站的集中监护。</w:t>
      </w:r>
    </w:p>
    <w:p>
      <w:pPr>
        <w:spacing w:line="34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15.内置锂电池，充满电后工作时间≥4小时。</w:t>
      </w:r>
    </w:p>
    <w:p>
      <w:pPr>
        <w:spacing w:line="3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16.检测数据具有导出功能。</w:t>
      </w:r>
    </w:p>
    <w:p>
      <w:pPr>
        <w:spacing w:line="34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17.★每台监护仪配置清单：主机1台，心电电缆与导联线(分体式、夹式)1根，可重复使用的分体式血氧饱和度探头1根，配置适用于成人无创血压测量的袖带≥3套，血压延长管1根，锂电池1块。</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6"/>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pPr>
      <w:r>
        <w:rPr>
          <w:rFonts w:hint="eastAsia"/>
        </w:rPr>
        <w:t>4.1质保期：最终验收合格后提供≥3年原厂质保（含整机所有部件；如质保期内部件损坏，中标人免费更换全新原厂配件，并对更换部件延长一年质保）。</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eastAsia="zh-CN"/>
        </w:rPr>
        <w:t>每</w:t>
      </w:r>
      <w:r>
        <w:rPr>
          <w:rFonts w:hint="eastAsia" w:ascii="宋体" w:hAnsi="宋体" w:eastAsia="宋体" w:cs="宋体"/>
          <w:color w:val="000000"/>
          <w:kern w:val="0"/>
          <w:lang w:val="en-US" w:eastAsia="zh-CN"/>
        </w:rPr>
        <w:t>半</w:t>
      </w:r>
      <w:r>
        <w:rPr>
          <w:rFonts w:hint="eastAsia" w:ascii="宋体" w:hAnsi="宋体" w:eastAsia="宋体" w:cs="宋体"/>
          <w:color w:val="000000"/>
          <w:kern w:val="0"/>
          <w:lang w:eastAsia="zh-CN"/>
        </w:rPr>
        <w:t>年巡检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8"/>
        <w:gridCol w:w="738"/>
        <w:gridCol w:w="1194"/>
        <w:gridCol w:w="57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7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ascii="宋体" w:hAnsi="宋体" w:eastAsia="宋体" w:cs="宋体"/>
              </w:rPr>
            </w:pPr>
            <w:r>
              <w:rPr>
                <w:rFonts w:hint="eastAsia" w:ascii="宋体" w:hAnsi="宋体" w:cs="宋体"/>
              </w:rPr>
              <w:t>注：报价最低的为基准价。</w:t>
            </w:r>
          </w:p>
        </w:tc>
        <w:tc>
          <w:tcPr>
            <w:tcW w:w="16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cs="Segoe UI"/>
                <w:color w:val="000000"/>
                <w:kern w:val="0"/>
                <w:lang w:val="en-US" w:eastAsia="zh-CN"/>
              </w:rPr>
              <w:t>56</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color w:val="auto"/>
              </w:rPr>
            </w:pPr>
            <w:r>
              <w:rPr>
                <w:rFonts w:hint="eastAsia" w:ascii="宋体" w:hAnsi="宋体" w:cs="宋体"/>
                <w:color w:val="auto"/>
              </w:rPr>
              <w:t>完全符合招标文件技术参数要求得</w:t>
            </w:r>
            <w:r>
              <w:rPr>
                <w:rFonts w:hint="eastAsia" w:ascii="宋体" w:hAnsi="宋体" w:cs="宋体"/>
                <w:color w:val="auto"/>
                <w:lang w:val="en-US" w:eastAsia="zh-CN"/>
              </w:rPr>
              <w:t>56</w:t>
            </w:r>
            <w:r>
              <w:rPr>
                <w:rFonts w:hint="eastAsia" w:ascii="宋体" w:hAnsi="宋体" w:cs="宋体"/>
                <w:color w:val="auto"/>
              </w:rPr>
              <w:t>分。▲号条款负偏离一项扣</w:t>
            </w:r>
            <w:r>
              <w:rPr>
                <w:rFonts w:hint="eastAsia" w:ascii="宋体" w:hAnsi="宋体" w:cs="宋体"/>
                <w:color w:val="auto"/>
                <w:lang w:val="en-US" w:eastAsia="zh-CN"/>
              </w:rPr>
              <w:t>6</w:t>
            </w:r>
            <w:r>
              <w:rPr>
                <w:rFonts w:hint="eastAsia" w:ascii="宋体" w:hAnsi="宋体" w:cs="宋体"/>
                <w:color w:val="auto"/>
              </w:rPr>
              <w:t>分，一般条款负偏离一项扣</w:t>
            </w:r>
            <w:r>
              <w:rPr>
                <w:rFonts w:hint="eastAsia" w:ascii="宋体" w:hAnsi="宋体" w:cs="宋体"/>
                <w:color w:val="auto"/>
                <w:lang w:val="en-US" w:eastAsia="zh-CN"/>
              </w:rPr>
              <w:t>2</w:t>
            </w:r>
            <w:r>
              <w:rPr>
                <w:rFonts w:hint="eastAsia" w:ascii="宋体" w:hAnsi="宋体" w:cs="宋体"/>
                <w:color w:val="auto"/>
              </w:rPr>
              <w:t>分，扣完为止。（▲号条款共</w:t>
            </w:r>
            <w:r>
              <w:rPr>
                <w:rFonts w:hint="eastAsia" w:ascii="宋体" w:hAnsi="宋体" w:cs="宋体"/>
                <w:color w:val="auto"/>
                <w:lang w:val="en-US" w:eastAsia="zh-CN"/>
              </w:rPr>
              <w:t>6</w:t>
            </w:r>
            <w:r>
              <w:rPr>
                <w:rFonts w:hint="eastAsia" w:ascii="宋体" w:hAnsi="宋体" w:cs="宋体"/>
                <w:color w:val="auto"/>
              </w:rPr>
              <w:t>项，一般条款共</w:t>
            </w:r>
            <w:r>
              <w:rPr>
                <w:rFonts w:hint="eastAsia" w:ascii="宋体" w:hAnsi="宋体" w:cs="宋体"/>
                <w:color w:val="auto"/>
                <w:lang w:val="en-US" w:eastAsia="zh-CN"/>
              </w:rPr>
              <w:t>10</w:t>
            </w:r>
            <w:r>
              <w:rPr>
                <w:rFonts w:hint="eastAsia" w:ascii="宋体" w:hAnsi="宋体" w:cs="宋体"/>
                <w:color w:val="auto"/>
              </w:rPr>
              <w:t>项），</w:t>
            </w:r>
          </w:p>
          <w:p>
            <w:pPr>
              <w:widowControl/>
              <w:spacing w:line="360" w:lineRule="exact"/>
              <w:rPr>
                <w:rFonts w:hint="eastAsia" w:ascii="宋体" w:hAnsi="宋体" w:cs="宋体"/>
              </w:rPr>
            </w:pPr>
            <w:r>
              <w:rPr>
                <w:rFonts w:hint="eastAsia" w:ascii="宋体" w:hAnsi="宋体" w:cs="宋体"/>
              </w:rPr>
              <w:t>注：（1）▲号条款需提供证明文件（按招标文件要求提供资料,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w:t>
            </w:r>
            <w:bookmarkStart w:id="1" w:name="_GoBack"/>
            <w:bookmarkEnd w:id="1"/>
            <w:r>
              <w:rPr>
                <w:rFonts w:hint="eastAsia" w:ascii="宋体" w:hAnsi="宋体" w:cs="宋体"/>
              </w:rPr>
              <w:t>有效证明材料并加盖投标人公章）。（2）如技术指标在投标文件中未对应出现或在投标文件中存在自相矛盾之处或未提供的不得分。</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cs="宋体"/>
                <w:lang w:val="en-US" w:eastAsia="zh-CN"/>
              </w:rPr>
              <w:t>6</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自202</w:t>
            </w:r>
            <w:r>
              <w:rPr>
                <w:rFonts w:hint="eastAsia" w:ascii="宋体" w:hAnsi="宋体" w:cs="宋体"/>
                <w:lang w:val="en-US" w:eastAsia="zh-CN"/>
              </w:rPr>
              <w:t>1</w:t>
            </w:r>
            <w:r>
              <w:rPr>
                <w:rFonts w:hint="eastAsia" w:ascii="宋体" w:hAnsi="宋体" w:cs="宋体"/>
              </w:rPr>
              <w:t>年1月1日（含）至今，以合同签订时间为准，投标人每具有一个类似项目业绩的得1分，最高得</w:t>
            </w:r>
            <w:r>
              <w:rPr>
                <w:rFonts w:hint="eastAsia" w:ascii="宋体" w:hAnsi="宋体" w:cs="宋体"/>
                <w:lang w:val="en-US" w:eastAsia="zh-CN"/>
              </w:rPr>
              <w:t>6</w:t>
            </w:r>
            <w:r>
              <w:rPr>
                <w:rFonts w:hint="eastAsia" w:ascii="宋体" w:hAnsi="宋体" w:cs="宋体"/>
              </w:rPr>
              <w:t xml:space="preserve">分。 </w:t>
            </w:r>
          </w:p>
          <w:p>
            <w:pPr>
              <w:widowControl/>
              <w:spacing w:line="360" w:lineRule="exact"/>
              <w:rPr>
                <w:rFonts w:ascii="宋体" w:hAnsi="宋体" w:cs="宋体"/>
              </w:rPr>
            </w:pPr>
            <w:r>
              <w:rPr>
                <w:rFonts w:hint="eastAsia" w:ascii="宋体" w:hAnsi="宋体" w:cs="宋体"/>
              </w:rPr>
              <w:t>注：提供项目合同复印件或中标（成交）通知书复印件并加盖投标人公章（鲜章）。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5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Segoe UI"/>
                <w:color w:val="333333"/>
                <w:kern w:val="0"/>
                <w:lang w:val="en-US" w:eastAsia="zh-CN"/>
              </w:rPr>
              <w:t>8</w:t>
            </w:r>
          </w:p>
        </w:tc>
        <w:tc>
          <w:tcPr>
            <w:tcW w:w="57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2</w:t>
            </w:r>
            <w:r>
              <w:rPr>
                <w:rFonts w:hint="eastAsia" w:ascii="宋体" w:hAnsi="宋体" w:cs="宋体"/>
              </w:rPr>
              <w:t>分，每有一项存在内容缺陷扣</w:t>
            </w:r>
            <w:r>
              <w:rPr>
                <w:rFonts w:hint="eastAsia" w:ascii="宋体" w:hAnsi="宋体" w:cs="宋体"/>
                <w:lang w:val="en-US" w:eastAsia="zh-CN"/>
              </w:rPr>
              <w:t>1</w:t>
            </w:r>
            <w:r>
              <w:rPr>
                <w:rFonts w:hint="eastAsia" w:ascii="宋体" w:hAnsi="宋体" w:cs="宋体"/>
              </w:rPr>
              <w:t>分，扣完为止。</w:t>
            </w:r>
          </w:p>
          <w:p>
            <w:pPr>
              <w:widowControl/>
              <w:spacing w:line="360" w:lineRule="exact"/>
              <w:rPr>
                <w:rFonts w:ascii="宋体" w:hAnsi="宋体" w:cs="宋体"/>
              </w:rPr>
            </w:pPr>
            <w:r>
              <w:rPr>
                <w:rFonts w:hint="eastAsia" w:ascii="宋体" w:hAnsi="宋体" w:cs="宋体"/>
              </w:rPr>
              <w:t>注：内容缺陷是指存在项目名称错误、地点区域错误、内容与本项目需求无关、方案内容矛盾或表述前后不一致、仅有框架或标题、适用的标准(方法)错误、明显复制其他项目内容等任意一种情形。</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3"/>
      </w:pPr>
    </w:p>
    <w:p>
      <w:pPr>
        <w:pStyle w:val="13"/>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574FE9"/>
    <w:rsid w:val="07684003"/>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22827069"/>
    <w:rsid w:val="25933A00"/>
    <w:rsid w:val="272B37A3"/>
    <w:rsid w:val="31FB7325"/>
    <w:rsid w:val="3459137F"/>
    <w:rsid w:val="351D2E6B"/>
    <w:rsid w:val="35E40AE0"/>
    <w:rsid w:val="368F2498"/>
    <w:rsid w:val="395149AF"/>
    <w:rsid w:val="39CE1F6A"/>
    <w:rsid w:val="3DA970F6"/>
    <w:rsid w:val="3DE462AE"/>
    <w:rsid w:val="45FE0BC5"/>
    <w:rsid w:val="47A53522"/>
    <w:rsid w:val="49A664ED"/>
    <w:rsid w:val="4B671727"/>
    <w:rsid w:val="4C0A6C94"/>
    <w:rsid w:val="4C76008D"/>
    <w:rsid w:val="4F954CC0"/>
    <w:rsid w:val="59213BB4"/>
    <w:rsid w:val="5B1829CF"/>
    <w:rsid w:val="5E920148"/>
    <w:rsid w:val="5F381B5D"/>
    <w:rsid w:val="60021495"/>
    <w:rsid w:val="622F0396"/>
    <w:rsid w:val="63D266D5"/>
    <w:rsid w:val="6CA02C6A"/>
    <w:rsid w:val="700B2FC9"/>
    <w:rsid w:val="734A410E"/>
    <w:rsid w:val="76451E51"/>
    <w:rsid w:val="77CF51AC"/>
    <w:rsid w:val="7F10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 字符"/>
    <w:basedOn w:val="12"/>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2024-07-08T01:28:00Z</cp:lastPrinted>
  <dcterms:modified xsi:type="dcterms:W3CDTF">2024-08-02T08:33:13Z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