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附件1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项目需求</w:t>
      </w:r>
    </w:p>
    <w:p>
      <w:pPr>
        <w:numPr>
          <w:ilvl w:val="0"/>
          <w:numId w:val="0"/>
        </w:numPr>
        <w:spacing w:line="360" w:lineRule="auto"/>
        <w:ind w:firstLine="64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1.拟投入本项目车辆必须具有《道路运输证》；</w:t>
      </w:r>
    </w:p>
    <w:p>
      <w:pPr>
        <w:numPr>
          <w:ilvl w:val="0"/>
          <w:numId w:val="0"/>
        </w:numPr>
        <w:spacing w:line="360" w:lineRule="auto"/>
        <w:ind w:firstLine="64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2.具备健全的管理制度、有效的应急管理措施及应急处置能力；</w:t>
      </w:r>
    </w:p>
    <w:p>
      <w:pPr>
        <w:numPr>
          <w:ilvl w:val="0"/>
          <w:numId w:val="0"/>
        </w:numPr>
        <w:spacing w:line="360" w:lineRule="auto"/>
        <w:ind w:firstLine="64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3.具备车辆维护、检修工作制度，确保车辆按时做好综合性能检测及维护，保障车辆正常使用；</w:t>
      </w:r>
    </w:p>
    <w:p>
      <w:pPr>
        <w:numPr>
          <w:ilvl w:val="0"/>
          <w:numId w:val="0"/>
        </w:numPr>
        <w:spacing w:line="360" w:lineRule="auto"/>
        <w:ind w:firstLine="64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4.提供车辆必须有效合法，车况良好，无违章或既往违章已处理完毕、违法及法律纠纷，且车辆使用年限不超过4年或4万公里；</w:t>
      </w:r>
    </w:p>
    <w:p>
      <w:pPr>
        <w:numPr>
          <w:ilvl w:val="0"/>
          <w:numId w:val="0"/>
        </w:numPr>
        <w:spacing w:line="360" w:lineRule="auto"/>
        <w:ind w:firstLine="64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5.驾驶员须身体健康（不得有传染性疾病）、品行端正，年龄在50岁以下，3年内未发生过负主要责任的重大及以上的交通安全事故。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附件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2</w:t>
      </w:r>
    </w:p>
    <w:p>
      <w:pPr>
        <w:pStyle w:val="2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汽车租赁服务报价表</w:t>
      </w:r>
    </w:p>
    <w:tbl>
      <w:tblPr>
        <w:tblStyle w:val="3"/>
        <w:tblW w:w="9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391"/>
        <w:gridCol w:w="1291"/>
        <w:gridCol w:w="1064"/>
        <w:gridCol w:w="1398"/>
        <w:gridCol w:w="1077"/>
        <w:gridCol w:w="1016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8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车型</w:t>
            </w:r>
          </w:p>
        </w:tc>
        <w:tc>
          <w:tcPr>
            <w:tcW w:w="139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基本租车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定额里程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（公里/天）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车辆运行费</w:t>
            </w:r>
          </w:p>
        </w:tc>
        <w:tc>
          <w:tcPr>
            <w:tcW w:w="349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驾驶员</w:t>
            </w:r>
            <w:r>
              <w:rPr>
                <w:rFonts w:hint="eastAsia" w:ascii="黑体" w:hAnsi="黑体" w:eastAsia="黑体" w:cs="黑体"/>
                <w:szCs w:val="21"/>
              </w:rPr>
              <w:t>劳务费用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87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39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291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基本租车费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（元/天）</w:t>
            </w:r>
          </w:p>
        </w:tc>
        <w:tc>
          <w:tcPr>
            <w:tcW w:w="1064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超里程收费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（元/公里）</w:t>
            </w:r>
          </w:p>
        </w:tc>
        <w:tc>
          <w:tcPr>
            <w:tcW w:w="349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驾驶员劳务费（元/天）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含：基本劳务费（8小时/天）开票税金等</w:t>
            </w: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超强工作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（元/小时）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（每天行程超过8小时）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87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39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4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代驾费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（元/天）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餐费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（元/天）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住宿费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（元/天）</w:t>
            </w: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轿车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</w:t>
            </w:r>
          </w:p>
        </w:tc>
        <w:tc>
          <w:tcPr>
            <w:tcW w:w="12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商务车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（7座）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260</w:t>
            </w:r>
          </w:p>
        </w:tc>
        <w:tc>
          <w:tcPr>
            <w:tcW w:w="12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越野车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</w:t>
            </w:r>
          </w:p>
        </w:tc>
        <w:tc>
          <w:tcPr>
            <w:tcW w:w="12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客车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（12-25座）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180</w:t>
            </w:r>
          </w:p>
        </w:tc>
        <w:tc>
          <w:tcPr>
            <w:tcW w:w="12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客车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（39座）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</w:t>
            </w:r>
          </w:p>
        </w:tc>
        <w:tc>
          <w:tcPr>
            <w:tcW w:w="12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客车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（49座）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200</w:t>
            </w:r>
          </w:p>
        </w:tc>
        <w:tc>
          <w:tcPr>
            <w:tcW w:w="12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/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说明：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①表中价格均包含开票税金、维修、保养、救援、燃油费、电费等。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②用车过程中产生的过路费、泊车费由供应商提供相应票据后据实结算。</w:t>
      </w:r>
    </w:p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附件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3</w:t>
      </w:r>
    </w:p>
    <w:p>
      <w:pPr>
        <w:spacing w:line="276" w:lineRule="auto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法定代表人授权书</w:t>
      </w:r>
    </w:p>
    <w:p>
      <w:pPr>
        <w:spacing w:line="276" w:lineRule="auto"/>
        <w:jc w:val="center"/>
        <w:rPr>
          <w:rFonts w:ascii="黑体" w:hAnsi="黑体" w:eastAsia="黑体"/>
          <w:bCs/>
          <w:sz w:val="44"/>
          <w:szCs w:val="44"/>
        </w:rPr>
      </w:pPr>
    </w:p>
    <w:p>
      <w:pPr>
        <w:tabs>
          <w:tab w:val="left" w:pos="6300"/>
        </w:tabs>
        <w:spacing w:line="276" w:lineRule="auto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（采购单位名称）：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本授权委托书声明：我         系          的法定代表人，现授权      为我公司(机构)委托代理人，以本公司(机构)的名义参加四川省妇幼保健院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行政用车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汽车租赁服务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活动。委托代理人在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行政用车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汽车租赁服务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活动过程中所签署的一切文件和处理与之有关的一切事务，我及我的公司均予以承认并全部承担其产生的所有权利和义务。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委托代理人无转委托权。特此委托。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特此声明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法定代表人签字：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授权代表签字：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投标人名称：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     （加盖公章）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日期：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★说明：上述证明文件附有法定代表人、被授权代表身份证复印件（加盖公章）时才能生效。</w:t>
      </w:r>
    </w:p>
    <w:p>
      <w:pPr>
        <w:pStyle w:val="2"/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462E8"/>
    <w:rsid w:val="059B4420"/>
    <w:rsid w:val="0C6F6FEA"/>
    <w:rsid w:val="0DB94C4F"/>
    <w:rsid w:val="0E406C80"/>
    <w:rsid w:val="0E842D6A"/>
    <w:rsid w:val="113A7639"/>
    <w:rsid w:val="13491564"/>
    <w:rsid w:val="15C60954"/>
    <w:rsid w:val="164A0276"/>
    <w:rsid w:val="182462E8"/>
    <w:rsid w:val="199A33A8"/>
    <w:rsid w:val="19BC33D3"/>
    <w:rsid w:val="20F546F2"/>
    <w:rsid w:val="216137D3"/>
    <w:rsid w:val="2CB01481"/>
    <w:rsid w:val="300509BC"/>
    <w:rsid w:val="35214B05"/>
    <w:rsid w:val="3D560442"/>
    <w:rsid w:val="44C93074"/>
    <w:rsid w:val="46522BBF"/>
    <w:rsid w:val="472F47E9"/>
    <w:rsid w:val="47C21D01"/>
    <w:rsid w:val="553C0710"/>
    <w:rsid w:val="57031653"/>
    <w:rsid w:val="57772316"/>
    <w:rsid w:val="585A04C7"/>
    <w:rsid w:val="61A926F8"/>
    <w:rsid w:val="63A93422"/>
    <w:rsid w:val="712D2DC4"/>
    <w:rsid w:val="712E4A99"/>
    <w:rsid w:val="73EC3509"/>
    <w:rsid w:val="74477D8C"/>
    <w:rsid w:val="76247A28"/>
    <w:rsid w:val="7F80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2024-08-07T06:33:00Z</dcterms:created>
  <dc:creator>王丽媛</dc:creator>
  <cp:lastModifiedBy>王丽媛</cp:lastModifiedBy>
  <dcterms:modified xsi:type="dcterms:W3CDTF">2024-08-07T06:33:29Z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