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采购项目编号：SCFY-YXZB202408-001（单）</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7.158</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2"/>
        <w:tblW w:w="4973"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32"/>
        <w:gridCol w:w="1080"/>
        <w:gridCol w:w="108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right"/>
        </w:trPr>
        <w:tc>
          <w:tcPr>
            <w:tcW w:w="5000" w:type="pct"/>
            <w:gridSpan w:val="5"/>
            <w:noWrap w:val="0"/>
            <w:vAlign w:val="center"/>
          </w:tcPr>
          <w:p>
            <w:pPr>
              <w:autoSpaceDE w:val="0"/>
              <w:autoSpaceDN w:val="0"/>
              <w:jc w:val="left"/>
              <w:rPr>
                <w:rFonts w:hint="default" w:ascii="宋体" w:hAnsi="宋体" w:eastAsia="宋体"/>
                <w:b/>
                <w:sz w:val="21"/>
                <w:szCs w:val="21"/>
                <w:lang w:val="en-US" w:eastAsia="zh-CN"/>
              </w:rPr>
            </w:pPr>
            <w:r>
              <w:rPr>
                <w:rFonts w:hint="eastAsia" w:ascii="宋体" w:hAnsi="宋体"/>
                <w:b/>
                <w:sz w:val="21"/>
                <w:szCs w:val="21"/>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2" w:type="pct"/>
            <w:noWrap w:val="0"/>
            <w:vAlign w:val="center"/>
          </w:tcPr>
          <w:p>
            <w:pPr>
              <w:autoSpaceDE w:val="0"/>
              <w:autoSpaceDN w:val="0"/>
              <w:jc w:val="center"/>
              <w:rPr>
                <w:rFonts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284"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6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血型试剂质控</w:t>
            </w:r>
          </w:p>
        </w:tc>
        <w:tc>
          <w:tcPr>
            <w:tcW w:w="54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1500元</w:t>
            </w:r>
          </w:p>
        </w:tc>
        <w:tc>
          <w:tcPr>
            <w:tcW w:w="548"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30盒</w:t>
            </w:r>
          </w:p>
        </w:tc>
        <w:tc>
          <w:tcPr>
            <w:tcW w:w="2950" w:type="pct"/>
            <w:noWrap w:val="0"/>
            <w:vAlign w:val="top"/>
          </w:tcPr>
          <w:p>
            <w:pPr>
              <w:pStyle w:val="2"/>
              <w:numPr>
                <w:ilvl w:val="0"/>
                <w:numId w:val="1"/>
              </w:numPr>
              <w:rPr>
                <w:rFonts w:hint="default"/>
                <w:sz w:val="21"/>
                <w:szCs w:val="21"/>
                <w:lang w:val="en-US" w:eastAsia="zh-CN"/>
              </w:rPr>
            </w:pPr>
            <w:r>
              <w:rPr>
                <w:rFonts w:hint="default"/>
                <w:sz w:val="21"/>
                <w:szCs w:val="21"/>
                <w:lang w:val="en-US" w:eastAsia="zh-CN"/>
              </w:rPr>
              <w:t>模拟全血样本，均匀的红细胞悬液，质控红细胞和质控血浆在同一管。</w:t>
            </w:r>
          </w:p>
          <w:p>
            <w:pPr>
              <w:pStyle w:val="2"/>
              <w:numPr>
                <w:ilvl w:val="0"/>
                <w:numId w:val="1"/>
              </w:numPr>
              <w:rPr>
                <w:rFonts w:hint="default"/>
                <w:sz w:val="21"/>
                <w:szCs w:val="21"/>
                <w:lang w:val="en-US" w:eastAsia="zh-CN"/>
              </w:rPr>
            </w:pPr>
            <w:r>
              <w:rPr>
                <w:rFonts w:hint="default"/>
                <w:sz w:val="21"/>
                <w:szCs w:val="21"/>
                <w:lang w:val="en-US" w:eastAsia="zh-CN"/>
              </w:rPr>
              <w:t>质控红细胞的要求：红细胞浓度约为15%-20%，必须涵盖A抗原阳性、A抗原阴性，B抗原阳性、B抗原阴性，D抗原阳性、D抗原阴性，C抗原阳性、C抗原阴性，c抗原阳性、c抗原阴性，E抗原阳性、E抗原阴性，e抗原阳性、e抗原阴性。</w:t>
            </w:r>
          </w:p>
          <w:p>
            <w:pPr>
              <w:pStyle w:val="2"/>
              <w:numPr>
                <w:ilvl w:val="0"/>
                <w:numId w:val="1"/>
              </w:numPr>
              <w:rPr>
                <w:rFonts w:hint="default"/>
                <w:sz w:val="21"/>
                <w:szCs w:val="21"/>
                <w:lang w:val="en-US" w:eastAsia="zh-CN"/>
              </w:rPr>
            </w:pPr>
            <w:r>
              <w:rPr>
                <w:rFonts w:hint="default"/>
                <w:sz w:val="21"/>
                <w:szCs w:val="21"/>
                <w:lang w:val="en-US" w:eastAsia="zh-CN"/>
              </w:rPr>
              <w:t>质控血浆的要求：含有IgM 和/或IgG血型抗体：IgM抗A，IgM抗B，IgG抗D，IgM抗D。</w:t>
            </w:r>
          </w:p>
          <w:p>
            <w:pPr>
              <w:pStyle w:val="2"/>
              <w:numPr>
                <w:ilvl w:val="0"/>
                <w:numId w:val="1"/>
              </w:numPr>
              <w:rPr>
                <w:rFonts w:hint="default"/>
                <w:sz w:val="21"/>
                <w:szCs w:val="21"/>
                <w:lang w:val="en-US" w:eastAsia="zh-CN"/>
              </w:rPr>
            </w:pPr>
            <w:r>
              <w:rPr>
                <w:rFonts w:hint="default"/>
                <w:sz w:val="21"/>
                <w:szCs w:val="21"/>
                <w:lang w:val="en-US" w:eastAsia="zh-CN"/>
              </w:rPr>
              <w:t>可用于以下输血试验：包括但不限于血型鉴定、不规则抗体筛查和交叉配血试验。</w:t>
            </w:r>
          </w:p>
          <w:p>
            <w:pPr>
              <w:pStyle w:val="2"/>
              <w:numPr>
                <w:ilvl w:val="0"/>
                <w:numId w:val="1"/>
              </w:numPr>
              <w:rPr>
                <w:rFonts w:hint="default"/>
                <w:sz w:val="21"/>
                <w:szCs w:val="21"/>
                <w:lang w:val="en-US" w:eastAsia="zh-CN"/>
              </w:rPr>
            </w:pPr>
            <w:r>
              <w:rPr>
                <w:rFonts w:hint="default"/>
                <w:sz w:val="21"/>
                <w:szCs w:val="21"/>
                <w:lang w:val="en-US" w:eastAsia="zh-CN"/>
              </w:rPr>
              <w:t>可适配以下检测方法：支持盐水介质和抗人球蛋白介质中的凝集反应。</w:t>
            </w:r>
          </w:p>
          <w:p>
            <w:pPr>
              <w:pStyle w:val="2"/>
              <w:numPr>
                <w:ilvl w:val="0"/>
                <w:numId w:val="1"/>
              </w:numPr>
              <w:rPr>
                <w:rFonts w:hint="default"/>
                <w:sz w:val="21"/>
                <w:szCs w:val="21"/>
                <w:lang w:val="en-US" w:eastAsia="zh-CN"/>
              </w:rPr>
            </w:pPr>
            <w:r>
              <w:rPr>
                <w:rFonts w:hint="default"/>
                <w:sz w:val="21"/>
                <w:szCs w:val="21"/>
                <w:lang w:val="en-US" w:eastAsia="zh-CN"/>
              </w:rPr>
              <w:t>有效期要求：2-8℃保存，有效期≥60天</w:t>
            </w:r>
          </w:p>
          <w:p>
            <w:pPr>
              <w:pStyle w:val="2"/>
              <w:numPr>
                <w:ilvl w:val="0"/>
                <w:numId w:val="1"/>
              </w:numPr>
              <w:rPr>
                <w:rFonts w:hint="default"/>
                <w:sz w:val="21"/>
                <w:szCs w:val="21"/>
                <w:lang w:val="en-US" w:eastAsia="zh-CN"/>
              </w:rPr>
            </w:pPr>
            <w:r>
              <w:rPr>
                <w:rFonts w:hint="default"/>
                <w:sz w:val="21"/>
                <w:szCs w:val="21"/>
                <w:lang w:val="en-US" w:eastAsia="zh-CN"/>
              </w:rPr>
              <w:t>开瓶后在2-8℃条件下可保存≥28天。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right"/>
        </w:trPr>
        <w:tc>
          <w:tcPr>
            <w:tcW w:w="5000" w:type="pct"/>
            <w:gridSpan w:val="5"/>
            <w:noWrap w:val="0"/>
            <w:vAlign w:val="center"/>
          </w:tcPr>
          <w:p>
            <w:pPr>
              <w:pStyle w:val="2"/>
              <w:numPr>
                <w:ilvl w:val="0"/>
                <w:numId w:val="0"/>
              </w:numPr>
              <w:ind w:leftChars="0"/>
              <w:rPr>
                <w:rFonts w:hint="default" w:ascii="Times New Roman" w:hAnsi="Times New Roman" w:cs="Times New Roman"/>
                <w:sz w:val="21"/>
                <w:szCs w:val="21"/>
                <w:lang w:val="en-US" w:eastAsia="zh-CN"/>
              </w:rPr>
            </w:pPr>
            <w:r>
              <w:rPr>
                <w:rFonts w:hint="eastAsia" w:ascii="宋体" w:hAnsi="宋体" w:eastAsia="宋体" w:cs="Times New Roman"/>
                <w:b/>
                <w:kern w:val="2"/>
                <w:sz w:val="21"/>
                <w:szCs w:val="21"/>
                <w:lang w:val="en-US" w:eastAsia="zh-CN" w:bidi="ar-SA"/>
              </w:rPr>
              <w:t>03包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right"/>
        </w:trPr>
        <w:tc>
          <w:tcPr>
            <w:tcW w:w="28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rPr>
              <w:t>序号</w:t>
            </w:r>
          </w:p>
        </w:tc>
        <w:tc>
          <w:tcPr>
            <w:tcW w:w="672"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产品名称</w:t>
            </w:r>
          </w:p>
        </w:tc>
        <w:tc>
          <w:tcPr>
            <w:tcW w:w="544"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预算单价</w:t>
            </w:r>
          </w:p>
        </w:tc>
        <w:tc>
          <w:tcPr>
            <w:tcW w:w="548" w:type="pct"/>
            <w:noWrap w:val="0"/>
            <w:vAlign w:val="center"/>
          </w:tcPr>
          <w:p>
            <w:pPr>
              <w:autoSpaceDE w:val="0"/>
              <w:autoSpaceDN w:val="0"/>
              <w:jc w:val="center"/>
              <w:rPr>
                <w:rFonts w:hint="eastAsia" w:ascii="宋体" w:hAnsi="宋体"/>
                <w:b/>
                <w:sz w:val="21"/>
                <w:szCs w:val="21"/>
                <w:lang w:val="en-US" w:eastAsia="zh-CN"/>
              </w:rPr>
            </w:pPr>
            <w:r>
              <w:rPr>
                <w:rFonts w:hint="eastAsia" w:ascii="宋体" w:hAnsi="宋体"/>
                <w:b/>
                <w:sz w:val="21"/>
                <w:szCs w:val="21"/>
              </w:rPr>
              <w:t>预估年</w:t>
            </w:r>
            <w:r>
              <w:rPr>
                <w:rFonts w:hint="eastAsia" w:ascii="宋体" w:hAnsi="宋体"/>
                <w:b/>
                <w:sz w:val="21"/>
                <w:szCs w:val="21"/>
                <w:lang w:val="en-US" w:eastAsia="zh-CN"/>
              </w:rPr>
              <w:t>度</w:t>
            </w:r>
          </w:p>
          <w:p>
            <w:pPr>
              <w:autoSpaceDE w:val="0"/>
              <w:autoSpaceDN w:val="0"/>
              <w:jc w:val="center"/>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用</w:t>
            </w:r>
            <w:r>
              <w:rPr>
                <w:rFonts w:hint="eastAsia" w:ascii="宋体" w:hAnsi="宋体"/>
                <w:b/>
                <w:sz w:val="21"/>
                <w:szCs w:val="21"/>
              </w:rPr>
              <w:t>量</w:t>
            </w:r>
          </w:p>
        </w:tc>
        <w:tc>
          <w:tcPr>
            <w:tcW w:w="2950" w:type="pct"/>
            <w:noWrap w:val="0"/>
            <w:vAlign w:val="center"/>
          </w:tcPr>
          <w:p>
            <w:pPr>
              <w:autoSpaceDE w:val="0"/>
              <w:autoSpaceDN w:val="0"/>
              <w:jc w:val="center"/>
              <w:rPr>
                <w:rFonts w:hint="eastAsia" w:ascii="宋体" w:hAnsi="宋体" w:eastAsia="宋体" w:cs="Times New Roman"/>
                <w:b/>
                <w:kern w:val="2"/>
                <w:sz w:val="21"/>
                <w:szCs w:val="21"/>
                <w:lang w:val="en-US" w:eastAsia="zh-CN" w:bidi="ar-SA"/>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1</w:t>
            </w:r>
          </w:p>
        </w:tc>
        <w:tc>
          <w:tcPr>
            <w:tcW w:w="6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乙型肝炎病毒核酸(HBV DNA)</w:t>
            </w:r>
          </w:p>
        </w:tc>
        <w:tc>
          <w:tcPr>
            <w:tcW w:w="54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120元</w:t>
            </w:r>
          </w:p>
        </w:tc>
        <w:tc>
          <w:tcPr>
            <w:tcW w:w="54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124支</w:t>
            </w:r>
          </w:p>
        </w:tc>
        <w:tc>
          <w:tcPr>
            <w:tcW w:w="2950" w:type="pct"/>
            <w:noWrap w:val="0"/>
            <w:vAlign w:val="top"/>
          </w:tcPr>
          <w:p>
            <w:pPr>
              <w:pStyle w:val="2"/>
              <w:numPr>
                <w:ilvl w:val="0"/>
                <w:numId w:val="2"/>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血清液体定值标准物质或质控品，至少包括两个水平：低值浓度要求：1.0E+03～2.0E+04IU/ml；高值浓度要求：1.0E+06～2.0E+07IU/ml。</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包装规格：0.5ml/支、1ml/支均可。</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用途及使用要求：适用于开展乙型肝炎病毒核酸检测的实验室进行能力验证、室内质量控制等。</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须参与提取，以监控核酸提取质量。</w:t>
            </w:r>
          </w:p>
          <w:p>
            <w:pPr>
              <w:pStyle w:val="2"/>
              <w:numPr>
                <w:ilvl w:val="0"/>
                <w:numId w:val="2"/>
              </w:numPr>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有效期要求：≥2年</w:t>
            </w:r>
          </w:p>
          <w:p>
            <w:pPr>
              <w:pStyle w:val="2"/>
              <w:numPr>
                <w:ilvl w:val="0"/>
                <w:numId w:val="2"/>
              </w:numPr>
              <w:ind w:left="0" w:leftChars="0" w:firstLine="0" w:firstLineChars="0"/>
              <w:rPr>
                <w:rFonts w:hint="default"/>
                <w:sz w:val="21"/>
                <w:szCs w:val="21"/>
                <w:lang w:val="en-US" w:eastAsia="zh-CN"/>
              </w:rPr>
            </w:pPr>
            <w:r>
              <w:rPr>
                <w:rFonts w:hint="default" w:ascii="Times New Roman" w:hAnsi="Times New Roman" w:cs="Times New Roman"/>
                <w:sz w:val="21"/>
                <w:szCs w:val="21"/>
                <w:lang w:val="en-US" w:eastAsia="zh-CN"/>
              </w:rPr>
              <w:t>储存及运输要求： -10℃以下保存。需进行灭活处理，且冷冻运输。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284"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672"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B族链球菌脱氧核糖核酸 (GBS DNA)</w:t>
            </w:r>
          </w:p>
        </w:tc>
        <w:tc>
          <w:tcPr>
            <w:tcW w:w="544"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225元</w:t>
            </w:r>
          </w:p>
        </w:tc>
        <w:tc>
          <w:tcPr>
            <w:tcW w:w="548"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52支</w:t>
            </w:r>
          </w:p>
        </w:tc>
        <w:tc>
          <w:tcPr>
            <w:tcW w:w="2950" w:type="pct"/>
            <w:noWrap w:val="0"/>
            <w:vAlign w:val="top"/>
          </w:tcPr>
          <w:p>
            <w:pPr>
              <w:pStyle w:val="2"/>
              <w:numPr>
                <w:ilvl w:val="0"/>
                <w:numId w:val="3"/>
              </w:numPr>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液体定值标准物质或质控品，浓度范围要求：1.0E+03～1.0E+04 copies/ml</w:t>
            </w:r>
          </w:p>
          <w:p>
            <w:pPr>
              <w:pStyle w:val="2"/>
              <w:numPr>
                <w:ilvl w:val="0"/>
                <w:numId w:val="3"/>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包装规格：0.5ml/支、1ml/支均可</w:t>
            </w:r>
          </w:p>
          <w:p>
            <w:pPr>
              <w:pStyle w:val="2"/>
              <w:numPr>
                <w:ilvl w:val="0"/>
                <w:numId w:val="3"/>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用途及使用要求：适用于开展B族链球菌脱氧核糖核酸检测的室内质量控制。</w:t>
            </w:r>
          </w:p>
          <w:p>
            <w:pPr>
              <w:pStyle w:val="2"/>
              <w:numPr>
                <w:ilvl w:val="0"/>
                <w:numId w:val="3"/>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须参与提取，以监控核酸提取质量。</w:t>
            </w:r>
          </w:p>
          <w:p>
            <w:pPr>
              <w:pStyle w:val="2"/>
              <w:numPr>
                <w:ilvl w:val="0"/>
                <w:numId w:val="3"/>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有效期要求：有效期1年以上。</w:t>
            </w:r>
          </w:p>
          <w:p>
            <w:pPr>
              <w:pStyle w:val="2"/>
              <w:numPr>
                <w:ilvl w:val="0"/>
                <w:numId w:val="3"/>
              </w:numPr>
              <w:ind w:left="0" w:leftChars="0" w:firstLine="0" w:firstLine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储存及运输要求：-10℃以下保存。需进行灭活处理，且冷冻运输。</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w:t>
      </w:r>
      <w:r>
        <w:rPr>
          <w:rFonts w:hint="eastAsia"/>
        </w:rPr>
        <w:t>供应商投标产品若为纳入国家医疗保障局《医保医用耗材分类与代码》目录且具有医疗器械注册证的在用医用耗材(不含一类医疗器械)和具有医疗器械注册证或备案凭证的在用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
      <w:pPr>
        <w:pStyle w:val="2"/>
      </w:pPr>
    </w:p>
    <w:p/>
    <w:p>
      <w:pPr>
        <w:pStyle w:val="2"/>
      </w:pPr>
    </w:p>
    <w:p/>
    <w:p>
      <w:pPr>
        <w:pStyle w:val="2"/>
      </w:pPr>
    </w:p>
    <w:p/>
    <w:p>
      <w:pPr>
        <w:pStyle w:val="2"/>
      </w:pPr>
      <w:bookmarkStart w:id="135" w:name="_GoBack"/>
      <w:bookmarkEnd w:id="135"/>
    </w:p>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676"/>
      <w:bookmarkStart w:id="3" w:name="_Toc3414"/>
      <w:bookmarkStart w:id="4" w:name="_Toc9234"/>
      <w:bookmarkStart w:id="5" w:name="_Toc21163"/>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208"/>
      <w:bookmarkStart w:id="8" w:name="_Toc11076"/>
      <w:bookmarkStart w:id="9" w:name="_Toc60"/>
      <w:bookmarkStart w:id="10" w:name="_Toc14802"/>
      <w:bookmarkStart w:id="11" w:name="_Toc30494"/>
      <w:bookmarkStart w:id="12" w:name="_Toc5499"/>
      <w:bookmarkStart w:id="13" w:name="_Toc30275"/>
      <w:bookmarkStart w:id="14" w:name="_Toc12490"/>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3021"/>
      <w:bookmarkStart w:id="17" w:name="_Toc7067"/>
      <w:bookmarkStart w:id="18" w:name="_Toc28103"/>
      <w:bookmarkStart w:id="19" w:name="_Toc10948"/>
      <w:bookmarkStart w:id="20" w:name="_Toc26481"/>
      <w:bookmarkStart w:id="21" w:name="_Toc10183"/>
      <w:bookmarkStart w:id="22" w:name="_Toc30724"/>
      <w:bookmarkStart w:id="23" w:name="_Toc32214"/>
      <w:bookmarkStart w:id="24" w:name="_Toc3081"/>
      <w:bookmarkStart w:id="25" w:name="_Toc9131"/>
      <w:bookmarkStart w:id="26" w:name="_Toc3912"/>
      <w:bookmarkStart w:id="27" w:name="_Toc3447"/>
      <w:bookmarkStart w:id="28" w:name="_Toc18879"/>
      <w:bookmarkStart w:id="29" w:name="_Toc19115"/>
      <w:bookmarkStart w:id="30" w:name="_Toc8717"/>
      <w:bookmarkStart w:id="31" w:name="_Toc30080"/>
      <w:bookmarkStart w:id="32" w:name="_Toc3392"/>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649"/>
      <w:bookmarkStart w:id="35" w:name="_Toc9042"/>
      <w:bookmarkStart w:id="36" w:name="_Toc30920"/>
      <w:bookmarkStart w:id="37" w:name="_Toc18259"/>
      <w:bookmarkStart w:id="38" w:name="_Toc10142"/>
      <w:bookmarkStart w:id="39" w:name="_Toc7249"/>
      <w:bookmarkStart w:id="40" w:name="_Toc23645"/>
      <w:bookmarkStart w:id="41" w:name="_Toc15196"/>
      <w:bookmarkStart w:id="42" w:name="_Toc22795"/>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25516"/>
      <w:bookmarkStart w:id="47" w:name="_Toc26548"/>
      <w:bookmarkStart w:id="48" w:name="_Toc24117"/>
      <w:bookmarkStart w:id="49" w:name="_Toc3534"/>
      <w:bookmarkStart w:id="50" w:name="_Toc4775"/>
      <w:bookmarkStart w:id="51" w:name="_Toc30083"/>
      <w:bookmarkStart w:id="52" w:name="_Toc19600"/>
      <w:bookmarkStart w:id="53" w:name="_Toc2198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3192"/>
      <w:bookmarkStart w:id="55" w:name="_Toc21982"/>
      <w:bookmarkStart w:id="56" w:name="_Toc32166"/>
      <w:bookmarkStart w:id="57" w:name="_Toc16764"/>
      <w:bookmarkStart w:id="58" w:name="_Toc27376"/>
      <w:bookmarkStart w:id="59" w:name="_Toc691"/>
      <w:bookmarkStart w:id="60" w:name="_Toc22198"/>
      <w:bookmarkStart w:id="61" w:name="_Toc14887"/>
      <w:bookmarkStart w:id="62" w:name="_Toc12333"/>
      <w:bookmarkStart w:id="63" w:name="_Toc16666"/>
      <w:bookmarkStart w:id="64"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9263"/>
      <w:bookmarkStart w:id="66" w:name="_Toc5412"/>
      <w:bookmarkStart w:id="67" w:name="_Toc11914"/>
      <w:bookmarkStart w:id="68" w:name="_Toc22606"/>
      <w:bookmarkStart w:id="69" w:name="_Toc14269"/>
      <w:bookmarkStart w:id="70" w:name="_Toc1371"/>
      <w:bookmarkStart w:id="71" w:name="_Toc25068"/>
      <w:bookmarkStart w:id="72" w:name="_Toc3943"/>
      <w:bookmarkStart w:id="73" w:name="_Toc10013"/>
      <w:bookmarkStart w:id="74" w:name="_Toc4577"/>
      <w:bookmarkStart w:id="75" w:name="_Toc3158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2937"/>
      <w:bookmarkStart w:id="77" w:name="_Toc11489"/>
      <w:bookmarkStart w:id="78" w:name="_Toc13677"/>
      <w:bookmarkStart w:id="79" w:name="_Toc10600"/>
      <w:bookmarkStart w:id="80" w:name="_Toc3908"/>
      <w:bookmarkStart w:id="81" w:name="_Toc29190"/>
      <w:bookmarkStart w:id="82" w:name="_Toc17108"/>
      <w:bookmarkStart w:id="83" w:name="_Toc18935"/>
      <w:bookmarkStart w:id="84" w:name="_Toc13267"/>
      <w:bookmarkStart w:id="85" w:name="_Toc2316"/>
      <w:bookmarkStart w:id="86" w:name="_Toc3189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21351"/>
      <w:bookmarkStart w:id="89" w:name="_Toc31638"/>
      <w:bookmarkStart w:id="90" w:name="_Toc26756"/>
      <w:bookmarkStart w:id="91" w:name="_Toc14252"/>
      <w:bookmarkStart w:id="92" w:name="_Toc24122"/>
      <w:bookmarkStart w:id="93" w:name="_Toc15916"/>
      <w:bookmarkStart w:id="94" w:name="_Toc32365"/>
      <w:bookmarkStart w:id="95" w:name="_Toc1313"/>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bookmarkStart w:id="97" w:name="_Toc29215"/>
      <w:bookmarkStart w:id="98" w:name="_Toc18046"/>
      <w:bookmarkStart w:id="99" w:name="_Toc23212"/>
      <w:bookmarkStart w:id="100" w:name="_Toc15083"/>
      <w:bookmarkStart w:id="101" w:name="_Toc19589"/>
      <w:bookmarkStart w:id="102" w:name="_Toc26609"/>
      <w:bookmarkStart w:id="103" w:name="_Toc27948"/>
      <w:bookmarkStart w:id="104" w:name="_Toc10583"/>
      <w:bookmarkStart w:id="105" w:name="_Toc27985"/>
      <w:bookmarkStart w:id="106" w:name="_Toc22760"/>
      <w:bookmarkStart w:id="107" w:name="_Toc15894"/>
      <w:bookmarkStart w:id="108" w:name="_Toc9398"/>
      <w:bookmarkStart w:id="109" w:name="_Toc1127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4116"/>
      <w:bookmarkStart w:id="111" w:name="_Toc14546"/>
      <w:bookmarkStart w:id="112" w:name="_Toc757"/>
      <w:bookmarkStart w:id="113" w:name="_Toc17741"/>
      <w:bookmarkStart w:id="114" w:name="_Toc17204"/>
      <w:bookmarkStart w:id="115" w:name="_Toc27767"/>
      <w:bookmarkStart w:id="116" w:name="_Toc24671"/>
      <w:bookmarkStart w:id="117" w:name="_Toc29648"/>
      <w:bookmarkStart w:id="118" w:name="_Toc24655"/>
      <w:bookmarkStart w:id="119" w:name="_Toc8940"/>
      <w:bookmarkStart w:id="120" w:name="_Toc8348"/>
      <w:bookmarkStart w:id="121" w:name="_Toc24107"/>
      <w:bookmarkStart w:id="122"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5917"/>
      <w:bookmarkStart w:id="124" w:name="_Toc22243"/>
      <w:bookmarkStart w:id="125" w:name="_Toc12682"/>
      <w:bookmarkStart w:id="126" w:name="_Toc24280"/>
      <w:bookmarkStart w:id="127" w:name="_Toc10945"/>
      <w:bookmarkStart w:id="128" w:name="_Toc20745"/>
      <w:bookmarkStart w:id="129" w:name="_Toc10950"/>
      <w:bookmarkStart w:id="130" w:name="_Toc2003"/>
      <w:bookmarkStart w:id="131" w:name="_Toc14781"/>
      <w:bookmarkStart w:id="132" w:name="_Toc5840"/>
      <w:bookmarkStart w:id="133" w:name="_Toc8524"/>
      <w:bookmarkStart w:id="134" w:name="_Toc10308"/>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hint="default"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医保码</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w:t>
      </w:r>
      <w:r>
        <w:rPr>
          <w:rFonts w:hint="eastAsia" w:ascii="仿宋_GB2312" w:hAnsi="Segoe UI" w:eastAsia="仿宋_GB2312" w:cs="Segoe UI"/>
          <w:color w:val="000000" w:themeColor="text1"/>
          <w:kern w:val="0"/>
          <w:sz w:val="24"/>
          <w:szCs w:val="24"/>
          <w:lang w:val="en-US" w:eastAsia="zh-CN"/>
        </w:rPr>
        <w:t>单位</w:t>
      </w:r>
      <w:r>
        <w:rPr>
          <w:rFonts w:hint="eastAsia" w:ascii="仿宋_GB2312" w:hAnsi="Segoe UI" w:eastAsia="仿宋_GB2312" w:cs="Segoe UI"/>
          <w:color w:val="000000" w:themeColor="text1"/>
          <w:kern w:val="0"/>
          <w:sz w:val="24"/>
          <w:szCs w:val="24"/>
        </w:rPr>
        <w:t>名称：</w:t>
      </w:r>
      <w:r>
        <w:rPr>
          <w:rFonts w:hint="eastAsia" w:ascii="仿宋_GB2312" w:hAnsi="Segoe UI" w:eastAsia="仿宋_GB2312" w:cs="Segoe UI"/>
          <w:color w:val="000000" w:themeColor="text1"/>
          <w:kern w:val="0"/>
          <w:sz w:val="24"/>
          <w:szCs w:val="24"/>
          <w:u w:val="single"/>
        </w:rPr>
        <w:t xml:space="preserve">                             </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（单位公章）</w:t>
      </w:r>
    </w:p>
    <w:p>
      <w:pPr>
        <w:widowControl/>
        <w:shd w:val="clear" w:color="auto"/>
        <w:wordWrap w:val="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4"/>
          <w:szCs w:val="24"/>
        </w:rPr>
        <w:t>（签字或加盖个人名章）</w:t>
      </w:r>
      <w:r>
        <w:rPr>
          <w:rFonts w:hint="eastAsia" w:ascii="仿宋_GB2312" w:hAnsi="Segoe UI" w:eastAsia="仿宋_GB2312" w:cs="Segoe UI"/>
          <w:color w:val="000000" w:themeColor="text1"/>
          <w:kern w:val="0"/>
          <w:sz w:val="24"/>
          <w:szCs w:val="24"/>
          <w:lang w:val="en-US" w:eastAsia="zh-CN"/>
        </w:rPr>
        <w:t xml:space="preserve">                    </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供应商单位</w:t>
      </w:r>
      <w:r>
        <w:rPr>
          <w:rFonts w:hint="eastAsia" w:ascii="仿宋_GB2312" w:hAnsi="Segoe UI" w:eastAsia="仿宋_GB2312" w:cs="Segoe UI"/>
          <w:color w:val="000000" w:themeColor="text1"/>
          <w:kern w:val="0"/>
          <w:sz w:val="24"/>
          <w:szCs w:val="24"/>
        </w:rPr>
        <w:t>名称：</w:t>
      </w:r>
      <w:r>
        <w:rPr>
          <w:rFonts w:hint="eastAsia" w:ascii="仿宋_GB2312" w:hAnsi="Segoe UI" w:eastAsia="仿宋_GB2312" w:cs="Segoe UI"/>
          <w:color w:val="000000" w:themeColor="text1"/>
          <w:kern w:val="0"/>
          <w:sz w:val="24"/>
          <w:szCs w:val="24"/>
          <w:u w:val="single"/>
        </w:rPr>
        <w:t xml:space="preserve">                             </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（单位公章）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六、采购</w:t>
      </w:r>
      <w:r>
        <w:rPr>
          <w:rFonts w:hint="eastAsia" w:ascii="仿宋_GB2312" w:hAnsi="Segoe UI" w:eastAsia="仿宋_GB2312" w:cs="Segoe UI"/>
          <w:color w:val="000000" w:themeColor="text1"/>
          <w:kern w:val="0"/>
          <w:sz w:val="24"/>
          <w:szCs w:val="24"/>
          <w:lang w:val="en-US" w:eastAsia="zh-CN"/>
        </w:rPr>
        <w:t>项目</w:t>
      </w:r>
      <w:r>
        <w:rPr>
          <w:rFonts w:hint="eastAsia" w:ascii="仿宋_GB2312" w:hAnsi="Segoe UI" w:eastAsia="仿宋_GB2312" w:cs="Segoe UI"/>
          <w:color w:val="000000" w:themeColor="text1"/>
          <w:kern w:val="0"/>
          <w:sz w:val="24"/>
          <w:szCs w:val="24"/>
        </w:rPr>
        <w:t>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宋体" w:hAnsi="宋体" w:eastAsia="宋体" w:cs="Segoe UI"/>
          <w:color w:val="000000" w:themeColor="text1"/>
          <w:kern w:val="0"/>
          <w:sz w:val="24"/>
          <w:szCs w:val="24"/>
        </w:rPr>
        <w:t> </w:t>
      </w:r>
      <w:r>
        <w:rPr>
          <w:rFonts w:hint="eastAsia" w:ascii="仿宋_GB2312" w:hAnsi="Segoe UI" w:eastAsia="仿宋_GB2312" w:cs="Segoe UI"/>
          <w:color w:val="000000" w:themeColor="text1"/>
          <w:kern w:val="0"/>
          <w:sz w:val="24"/>
          <w:szCs w:val="24"/>
        </w:rPr>
        <w:t>本《承诺书》一式二份（一份由承诺人自存；一份随竞价书传递）</w:t>
      </w:r>
    </w:p>
    <w:p>
      <w:pPr>
        <w:pStyle w:val="2"/>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承诺企业名称</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u w:val="single"/>
        </w:rPr>
        <w:t xml:space="preserve">                             </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（单位公章）</w:t>
      </w:r>
      <w:r>
        <w:rPr>
          <w:rFonts w:hint="eastAsia" w:ascii="仿宋_GB2312" w:hAnsi="Segoe UI" w:eastAsia="仿宋_GB2312" w:cs="Segoe UI"/>
          <w:color w:val="000000" w:themeColor="text1"/>
          <w:kern w:val="0"/>
          <w:sz w:val="24"/>
          <w:szCs w:val="24"/>
          <w:lang w:val="en-US" w:eastAsia="zh-CN"/>
        </w:rPr>
        <w:t xml:space="preserve">                        </w:t>
      </w:r>
    </w:p>
    <w:p>
      <w:pPr>
        <w:widowControl/>
        <w:shd w:val="clear" w:color="auto"/>
        <w:wordWrap w:val="0"/>
        <w:spacing w:line="270" w:lineRule="atLeast"/>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法人代表或委托代理人（承诺人）</w:t>
      </w:r>
      <w:r>
        <w:rPr>
          <w:rFonts w:hint="eastAsia" w:ascii="仿宋_GB2312" w:hAnsi="Segoe UI" w:eastAsia="仿宋_GB2312" w:cs="Segoe UI"/>
          <w:color w:val="000000" w:themeColor="text1"/>
          <w:kern w:val="0"/>
          <w:sz w:val="24"/>
          <w:szCs w:val="24"/>
          <w:lang w:val="en-US" w:eastAsia="zh-CN"/>
        </w:rPr>
        <w:t>签字：</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（签字或加盖个人名章）</w:t>
      </w:r>
      <w:r>
        <w:rPr>
          <w:rFonts w:hint="eastAsia" w:ascii="仿宋_GB2312" w:hAnsi="Segoe UI" w:eastAsia="仿宋_GB2312" w:cs="Segoe UI"/>
          <w:color w:val="000000" w:themeColor="text1"/>
          <w:kern w:val="0"/>
          <w:sz w:val="24"/>
          <w:szCs w:val="24"/>
          <w:lang w:val="en-US" w:eastAsia="zh-CN"/>
        </w:rPr>
        <w:t xml:space="preserve">  </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wordWrap w:val="0"/>
        <w:ind w:firstLine="560" w:firstLineChars="200"/>
        <w:jc w:val="left"/>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供应商</w:t>
      </w:r>
      <w:r>
        <w:rPr>
          <w:rFonts w:hint="eastAsia" w:ascii="仿宋_GB2312" w:hAnsi="仿宋_GB2312" w:eastAsia="仿宋_GB2312" w:cs="仿宋_GB2312"/>
          <w:color w:val="000000" w:themeColor="text1"/>
          <w:kern w:val="0"/>
          <w:sz w:val="28"/>
          <w:szCs w:val="28"/>
          <w:lang w:val="en-US" w:eastAsia="zh-CN"/>
        </w:rPr>
        <w:t>单位</w:t>
      </w:r>
      <w:r>
        <w:rPr>
          <w:rFonts w:hint="eastAsia" w:ascii="仿宋_GB2312" w:hAnsi="仿宋_GB2312" w:eastAsia="仿宋_GB2312" w:cs="仿宋_GB2312"/>
          <w:color w:val="000000" w:themeColor="text1"/>
          <w:kern w:val="0"/>
          <w:sz w:val="28"/>
          <w:szCs w:val="28"/>
        </w:rPr>
        <w:t>名称：</w:t>
      </w:r>
      <w:r>
        <w:rPr>
          <w:rFonts w:hint="eastAsia" w:ascii="仿宋_GB2312" w:hAnsi="仿宋_GB2312" w:eastAsia="仿宋_GB2312" w:cs="仿宋_GB2312"/>
          <w:color w:val="000000" w:themeColor="text1"/>
          <w:kern w:val="0"/>
          <w:sz w:val="28"/>
          <w:szCs w:val="28"/>
          <w:u w:val="single"/>
        </w:rPr>
        <w:t xml:space="preserve">                             </w:t>
      </w:r>
      <w:r>
        <w:rPr>
          <w:rFonts w:hint="eastAsia" w:ascii="仿宋_GB2312" w:hAnsi="仿宋_GB2312" w:eastAsia="仿宋_GB2312" w:cs="仿宋_GB2312"/>
          <w:color w:val="000000" w:themeColor="text1"/>
          <w:kern w:val="0"/>
          <w:sz w:val="28"/>
          <w:szCs w:val="28"/>
          <w:u w:val="single"/>
          <w:lang w:val="en-US" w:eastAsia="zh-CN"/>
        </w:rPr>
        <w:t xml:space="preserve"> </w:t>
      </w:r>
      <w:r>
        <w:rPr>
          <w:rFonts w:hint="eastAsia" w:ascii="仿宋_GB2312" w:hAnsi="仿宋_GB2312" w:eastAsia="仿宋_GB2312" w:cs="仿宋_GB2312"/>
          <w:color w:val="000000" w:themeColor="text1"/>
          <w:kern w:val="0"/>
          <w:sz w:val="28"/>
          <w:szCs w:val="28"/>
        </w:rPr>
        <w:t>（单位公章）</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kern w:val="0"/>
          <w:sz w:val="28"/>
          <w:szCs w:val="28"/>
        </w:rPr>
        <w:t>法定代表人或授权代表签字：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themeColor="text1"/>
          <w:kern w:val="0"/>
          <w:sz w:val="28"/>
          <w:szCs w:val="28"/>
        </w:rPr>
        <w:t>（签字或加盖个人名章）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仿宋_GB2312" w:eastAsia="仿宋_GB2312" w:cs="仿宋_GB2312"/>
          <w:sz w:val="28"/>
          <w:szCs w:val="28"/>
        </w:rPr>
        <w:t xml:space="preserve">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jc w:val="center"/>
        <w:rPr>
          <w:rFonts w:hint="eastAsia" w:ascii="仿宋_GB2312" w:hAnsi="仿宋_GB2312" w:eastAsia="仿宋_GB2312" w:cs="仿宋_GB2312"/>
          <w:b/>
          <w:bCs/>
          <w:kern w:val="2"/>
          <w:sz w:val="28"/>
          <w:szCs w:val="28"/>
          <w:lang w:val="en-US" w:eastAsia="zh-CN" w:bidi="ar-SA"/>
        </w:rPr>
      </w:pPr>
    </w:p>
    <w:p>
      <w:pPr>
        <w:pStyle w:val="2"/>
        <w:jc w:val="center"/>
        <w:rPr>
          <w:rFonts w:hint="default"/>
          <w:lang w:val="en-US" w:eastAsia="zh-CN"/>
        </w:rPr>
      </w:pPr>
      <w:r>
        <w:rPr>
          <w:rFonts w:hint="eastAsia" w:ascii="仿宋_GB2312" w:hAnsi="仿宋_GB2312" w:eastAsia="仿宋_GB2312" w:cs="仿宋_GB2312"/>
          <w:b/>
          <w:bCs/>
          <w:kern w:val="2"/>
          <w:sz w:val="28"/>
          <w:szCs w:val="28"/>
          <w:lang w:val="en-US" w:eastAsia="zh-CN" w:bidi="ar-SA"/>
        </w:rPr>
        <w:t>供应商遵守招标采购纪律承诺书</w:t>
      </w:r>
    </w:p>
    <w:p>
      <w:pPr>
        <w:widowControl/>
        <w:shd w:val="clear" w:color="auto"/>
        <w:wordWrap w:val="0"/>
        <w:jc w:val="left"/>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color w:val="000000" w:themeColor="text1"/>
          <w:kern w:val="0"/>
          <w:sz w:val="28"/>
          <w:szCs w:val="28"/>
        </w:rPr>
        <w:t>供应商</w:t>
      </w:r>
      <w:r>
        <w:rPr>
          <w:rFonts w:hint="eastAsia" w:ascii="仿宋_GB2312" w:hAnsi="仿宋_GB2312" w:eastAsia="仿宋_GB2312" w:cs="仿宋_GB2312"/>
          <w:color w:val="000000" w:themeColor="text1"/>
          <w:kern w:val="0"/>
          <w:sz w:val="28"/>
          <w:szCs w:val="28"/>
          <w:lang w:val="en-US" w:eastAsia="zh-CN"/>
        </w:rPr>
        <w:t>单位</w:t>
      </w:r>
      <w:r>
        <w:rPr>
          <w:rFonts w:hint="eastAsia" w:ascii="仿宋_GB2312" w:hAnsi="仿宋_GB2312" w:eastAsia="仿宋_GB2312" w:cs="仿宋_GB2312"/>
          <w:color w:val="000000" w:themeColor="text1"/>
          <w:kern w:val="0"/>
          <w:sz w:val="28"/>
          <w:szCs w:val="28"/>
        </w:rPr>
        <w:t>名称：</w:t>
      </w:r>
      <w:r>
        <w:rPr>
          <w:rFonts w:hint="eastAsia" w:ascii="仿宋_GB2312" w:hAnsi="仿宋_GB2312" w:eastAsia="仿宋_GB2312" w:cs="仿宋_GB2312"/>
          <w:color w:val="000000" w:themeColor="text1"/>
          <w:kern w:val="0"/>
          <w:sz w:val="28"/>
          <w:szCs w:val="28"/>
          <w:u w:val="single"/>
        </w:rPr>
        <w:t xml:space="preserve">                             </w:t>
      </w:r>
      <w:r>
        <w:rPr>
          <w:rFonts w:hint="eastAsia" w:ascii="仿宋_GB2312" w:hAnsi="仿宋_GB2312" w:eastAsia="仿宋_GB2312" w:cs="仿宋_GB2312"/>
          <w:color w:val="000000" w:themeColor="text1"/>
          <w:kern w:val="0"/>
          <w:sz w:val="28"/>
          <w:szCs w:val="28"/>
          <w:u w:val="single"/>
          <w:lang w:val="en-US" w:eastAsia="zh-CN"/>
        </w:rPr>
        <w:t xml:space="preserve"> </w:t>
      </w:r>
      <w:r>
        <w:rPr>
          <w:rFonts w:hint="eastAsia" w:ascii="仿宋_GB2312" w:hAnsi="仿宋_GB2312" w:eastAsia="仿宋_GB2312" w:cs="仿宋_GB2312"/>
          <w:color w:val="000000" w:themeColor="text1"/>
          <w:kern w:val="0"/>
          <w:sz w:val="28"/>
          <w:szCs w:val="28"/>
        </w:rPr>
        <w:t>（单位公章）</w:t>
      </w:r>
    </w:p>
    <w:p>
      <w:pPr>
        <w:pStyle w:val="2"/>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themeColor="text1"/>
          <w:kern w:val="0"/>
          <w:sz w:val="28"/>
          <w:szCs w:val="28"/>
        </w:rPr>
        <w:t>法定代表人或授权代表签字：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themeColor="text1"/>
          <w:kern w:val="0"/>
          <w:sz w:val="28"/>
          <w:szCs w:val="28"/>
        </w:rPr>
        <w:t>（签字或加盖个人名章）</w:t>
      </w:r>
      <w:r>
        <w:rPr>
          <w:rFonts w:hint="eastAsia" w:ascii="仿宋_GB2312" w:hAnsi="仿宋_GB2312" w:eastAsia="仿宋_GB2312" w:cs="仿宋_GB2312"/>
          <w:color w:val="000000" w:themeColor="text1"/>
          <w:kern w:val="0"/>
          <w:sz w:val="28"/>
          <w:szCs w:val="28"/>
          <w:lang w:val="en-US" w:eastAsia="zh-CN"/>
        </w:rPr>
        <w:t xml:space="preserve"> </w:t>
      </w:r>
    </w:p>
    <w:p>
      <w:pPr>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8D57"/>
    <w:multiLevelType w:val="singleLevel"/>
    <w:tmpl w:val="04FC8D57"/>
    <w:lvl w:ilvl="0" w:tentative="0">
      <w:start w:val="1"/>
      <w:numFmt w:val="decimal"/>
      <w:suff w:val="space"/>
      <w:lvlText w:val="%1."/>
      <w:lvlJc w:val="left"/>
    </w:lvl>
  </w:abstractNum>
  <w:abstractNum w:abstractNumId="1">
    <w:nsid w:val="0ECF326B"/>
    <w:multiLevelType w:val="singleLevel"/>
    <w:tmpl w:val="0ECF326B"/>
    <w:lvl w:ilvl="0" w:tentative="0">
      <w:start w:val="1"/>
      <w:numFmt w:val="decimal"/>
      <w:suff w:val="space"/>
      <w:lvlText w:val="%1."/>
      <w:lvlJc w:val="left"/>
    </w:lvl>
  </w:abstractNum>
  <w:abstractNum w:abstractNumId="2">
    <w:nsid w:val="4BBB160A"/>
    <w:multiLevelType w:val="singleLevel"/>
    <w:tmpl w:val="4BBB160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4EF7170"/>
    <w:rsid w:val="053A5330"/>
    <w:rsid w:val="07953CAB"/>
    <w:rsid w:val="079A5D56"/>
    <w:rsid w:val="07B925A7"/>
    <w:rsid w:val="0BF815CE"/>
    <w:rsid w:val="0E911C5D"/>
    <w:rsid w:val="10954EC2"/>
    <w:rsid w:val="12A81059"/>
    <w:rsid w:val="13485B4A"/>
    <w:rsid w:val="14456F80"/>
    <w:rsid w:val="195D2073"/>
    <w:rsid w:val="1A37043E"/>
    <w:rsid w:val="228C2840"/>
    <w:rsid w:val="26D9225C"/>
    <w:rsid w:val="272816FC"/>
    <w:rsid w:val="28203DA9"/>
    <w:rsid w:val="2E811DD5"/>
    <w:rsid w:val="357C4381"/>
    <w:rsid w:val="364F4E7F"/>
    <w:rsid w:val="365344A5"/>
    <w:rsid w:val="38BB478A"/>
    <w:rsid w:val="396510AC"/>
    <w:rsid w:val="3ED3727D"/>
    <w:rsid w:val="3ED941BE"/>
    <w:rsid w:val="405F3E1B"/>
    <w:rsid w:val="418B68CB"/>
    <w:rsid w:val="41EE0E8D"/>
    <w:rsid w:val="4669398D"/>
    <w:rsid w:val="4726687F"/>
    <w:rsid w:val="48983A5D"/>
    <w:rsid w:val="4AE36A9A"/>
    <w:rsid w:val="4B7A520A"/>
    <w:rsid w:val="4C5E41EC"/>
    <w:rsid w:val="4EE10A0C"/>
    <w:rsid w:val="51CB3FD0"/>
    <w:rsid w:val="52373124"/>
    <w:rsid w:val="53914C7E"/>
    <w:rsid w:val="5536063D"/>
    <w:rsid w:val="55F211D3"/>
    <w:rsid w:val="56183BA8"/>
    <w:rsid w:val="577B25E6"/>
    <w:rsid w:val="5941689C"/>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0717D71"/>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4</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褚晨</cp:lastModifiedBy>
  <dcterms:modified xsi:type="dcterms:W3CDTF">2024-08-09T01:47:54Z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