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04F0C">
      <w:pPr>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附件5  </w:t>
      </w:r>
    </w:p>
    <w:p w14:paraId="125E437B">
      <w:pPr>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综合评分明细表</w:t>
      </w:r>
      <w:r>
        <w:rPr>
          <w:rFonts w:hint="eastAsia" w:ascii="宋体" w:hAnsi="宋体" w:cs="宋体"/>
          <w:b/>
          <w:sz w:val="28"/>
          <w:szCs w:val="28"/>
          <w:lang w:val="en-US" w:eastAsia="zh-CN"/>
        </w:rPr>
        <w:t>（品牌商超）</w:t>
      </w:r>
    </w:p>
    <w:p w14:paraId="7EE19503">
      <w:pPr>
        <w:pStyle w:val="2"/>
        <w:rPr>
          <w:rFonts w:hint="eastAsia"/>
          <w:lang w:val="en-US" w:eastAsia="zh-CN"/>
        </w:rPr>
      </w:pPr>
    </w:p>
    <w:p w14:paraId="3E142C56">
      <w:pPr>
        <w:pStyle w:val="2"/>
        <w:rPr>
          <w:rFonts w:hint="eastAsia"/>
          <w:lang w:val="en-US" w:eastAsia="zh-CN"/>
        </w:rPr>
      </w:pPr>
    </w:p>
    <w:tbl>
      <w:tblPr>
        <w:tblStyle w:val="6"/>
        <w:tblpPr w:leftFromText="180" w:rightFromText="180" w:vertAnchor="page" w:horzAnchor="page" w:tblpX="1973" w:tblpY="2938"/>
        <w:tblOverlap w:val="never"/>
        <w:tblW w:w="8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395"/>
        <w:gridCol w:w="4215"/>
        <w:gridCol w:w="1900"/>
      </w:tblGrid>
      <w:tr w14:paraId="1DF12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0" w:type="dxa"/>
            <w:tcBorders>
              <w:top w:val="single" w:color="auto" w:sz="4" w:space="0"/>
              <w:left w:val="single" w:color="auto" w:sz="4" w:space="0"/>
              <w:bottom w:val="single" w:color="auto" w:sz="4" w:space="0"/>
              <w:right w:val="single" w:color="auto" w:sz="4" w:space="0"/>
            </w:tcBorders>
            <w:vAlign w:val="center"/>
          </w:tcPr>
          <w:p w14:paraId="0741DEA7">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序号</w:t>
            </w:r>
          </w:p>
        </w:tc>
        <w:tc>
          <w:tcPr>
            <w:tcW w:w="1395" w:type="dxa"/>
            <w:tcBorders>
              <w:top w:val="single" w:color="auto" w:sz="4" w:space="0"/>
              <w:left w:val="single" w:color="auto" w:sz="4" w:space="0"/>
              <w:bottom w:val="single" w:color="auto" w:sz="4" w:space="0"/>
              <w:right w:val="single" w:color="auto" w:sz="4" w:space="0"/>
            </w:tcBorders>
            <w:vAlign w:val="center"/>
          </w:tcPr>
          <w:p w14:paraId="5123BCEE">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评分项目</w:t>
            </w:r>
          </w:p>
        </w:tc>
        <w:tc>
          <w:tcPr>
            <w:tcW w:w="4215" w:type="dxa"/>
            <w:tcBorders>
              <w:top w:val="single" w:color="auto" w:sz="4" w:space="0"/>
              <w:left w:val="single" w:color="auto" w:sz="4" w:space="0"/>
              <w:bottom w:val="single" w:color="auto" w:sz="4" w:space="0"/>
              <w:right w:val="single" w:color="auto" w:sz="4" w:space="0"/>
            </w:tcBorders>
            <w:vAlign w:val="center"/>
          </w:tcPr>
          <w:p w14:paraId="449F40C0">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评分标准</w:t>
            </w:r>
          </w:p>
        </w:tc>
        <w:tc>
          <w:tcPr>
            <w:tcW w:w="1900" w:type="dxa"/>
            <w:tcBorders>
              <w:top w:val="single" w:color="auto" w:sz="4" w:space="0"/>
              <w:left w:val="single" w:color="auto" w:sz="4" w:space="0"/>
              <w:bottom w:val="single" w:color="auto" w:sz="4" w:space="0"/>
              <w:right w:val="single" w:color="auto" w:sz="4" w:space="0"/>
            </w:tcBorders>
            <w:vAlign w:val="center"/>
          </w:tcPr>
          <w:p w14:paraId="1D50557F">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说明</w:t>
            </w:r>
          </w:p>
        </w:tc>
      </w:tr>
      <w:tr w14:paraId="7B068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810" w:type="dxa"/>
            <w:tcBorders>
              <w:top w:val="single" w:color="auto" w:sz="4" w:space="0"/>
              <w:left w:val="single" w:color="auto" w:sz="4" w:space="0"/>
              <w:bottom w:val="single" w:color="auto" w:sz="4" w:space="0"/>
              <w:right w:val="single" w:color="auto" w:sz="4" w:space="0"/>
            </w:tcBorders>
            <w:vAlign w:val="center"/>
          </w:tcPr>
          <w:p w14:paraId="4EF1360C">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p>
        </w:tc>
        <w:tc>
          <w:tcPr>
            <w:tcW w:w="1395" w:type="dxa"/>
            <w:tcBorders>
              <w:top w:val="single" w:color="auto" w:sz="4" w:space="0"/>
              <w:left w:val="single" w:color="auto" w:sz="4" w:space="0"/>
              <w:bottom w:val="single" w:color="auto" w:sz="4" w:space="0"/>
              <w:right w:val="single" w:color="auto" w:sz="4" w:space="0"/>
            </w:tcBorders>
            <w:vAlign w:val="center"/>
          </w:tcPr>
          <w:p w14:paraId="1699C022">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报价</w:t>
            </w:r>
          </w:p>
          <w:p w14:paraId="074330B8">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20</w:t>
            </w:r>
            <w:r>
              <w:rPr>
                <w:rFonts w:hint="eastAsia" w:ascii="仿宋_GB2312" w:hAnsi="仿宋_GB2312" w:eastAsia="仿宋_GB2312" w:cs="仿宋_GB2312"/>
                <w:color w:val="000000" w:themeColor="text1"/>
                <w:sz w:val="24"/>
                <w:szCs w:val="24"/>
                <w14:textFill>
                  <w14:solidFill>
                    <w14:schemeClr w14:val="tx1"/>
                  </w14:solidFill>
                </w14:textFill>
              </w:rPr>
              <w:t>分）</w:t>
            </w:r>
          </w:p>
        </w:tc>
        <w:tc>
          <w:tcPr>
            <w:tcW w:w="4215" w:type="dxa"/>
            <w:tcBorders>
              <w:top w:val="single" w:color="auto" w:sz="4" w:space="0"/>
              <w:left w:val="single" w:color="auto" w:sz="4" w:space="0"/>
              <w:bottom w:val="single" w:color="auto" w:sz="4" w:space="0"/>
              <w:right w:val="single" w:color="auto" w:sz="4" w:space="0"/>
            </w:tcBorders>
            <w:vAlign w:val="center"/>
          </w:tcPr>
          <w:p w14:paraId="49A4458F">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供应商对券面基准金额（劵面基准金额 ）进行上浮比例报价，满足磋商文件要求且投标报价最高的投标报价为评审基准价，其价格分为满分。其他供应商的价格分统一按照下列公式计算：</w:t>
            </w:r>
          </w:p>
          <w:p w14:paraId="664DD463">
            <w:pPr>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投标报价得分=(评标基准价/投标报价）×100×20%。</w:t>
            </w:r>
          </w:p>
        </w:tc>
        <w:tc>
          <w:tcPr>
            <w:tcW w:w="1900" w:type="dxa"/>
            <w:tcBorders>
              <w:top w:val="single" w:color="auto" w:sz="4" w:space="0"/>
              <w:left w:val="single" w:color="auto" w:sz="4" w:space="0"/>
              <w:bottom w:val="single" w:color="auto" w:sz="4" w:space="0"/>
              <w:right w:val="single" w:color="auto" w:sz="4" w:space="0"/>
            </w:tcBorders>
            <w:vAlign w:val="center"/>
          </w:tcPr>
          <w:p w14:paraId="27A77508">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tc>
      </w:tr>
      <w:tr w14:paraId="3AA2C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810" w:type="dxa"/>
            <w:tcBorders>
              <w:top w:val="single" w:color="auto" w:sz="4" w:space="0"/>
              <w:left w:val="single" w:color="auto" w:sz="4" w:space="0"/>
              <w:bottom w:val="single" w:color="auto" w:sz="4" w:space="0"/>
              <w:right w:val="single" w:color="auto" w:sz="4" w:space="0"/>
            </w:tcBorders>
            <w:vAlign w:val="center"/>
          </w:tcPr>
          <w:p w14:paraId="561F2681">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p>
        </w:tc>
        <w:tc>
          <w:tcPr>
            <w:tcW w:w="1395" w:type="dxa"/>
            <w:tcBorders>
              <w:top w:val="single" w:color="auto" w:sz="4" w:space="0"/>
              <w:left w:val="single" w:color="auto" w:sz="4" w:space="0"/>
              <w:bottom w:val="single" w:color="auto" w:sz="4" w:space="0"/>
              <w:right w:val="single" w:color="auto" w:sz="4" w:space="0"/>
            </w:tcBorders>
            <w:vAlign w:val="center"/>
          </w:tcPr>
          <w:p w14:paraId="0688EC40">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实施方案</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40分</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tc>
        <w:tc>
          <w:tcPr>
            <w:tcW w:w="4215" w:type="dxa"/>
            <w:tcBorders>
              <w:top w:val="single" w:color="auto" w:sz="4" w:space="0"/>
              <w:left w:val="single" w:color="auto" w:sz="4" w:space="0"/>
              <w:bottom w:val="single" w:color="auto" w:sz="4" w:space="0"/>
              <w:right w:val="single" w:color="auto" w:sz="4" w:space="0"/>
            </w:tcBorders>
            <w:vAlign w:val="center"/>
          </w:tcPr>
          <w:p w14:paraId="25D1E2DB">
            <w:pPr>
              <w:numPr>
                <w:ilvl w:val="0"/>
                <w:numId w:val="0"/>
              </w:numPr>
              <w:spacing w:line="400" w:lineRule="exac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1.性价比16分。提供不少于米、面、粮油等产品的价格。综合考虑品牌、产品质量、价格及丰富度情况。综合较好得16-13分；综合次之得12-9分；综合较差得8分及以下。</w:t>
            </w:r>
          </w:p>
          <w:p w14:paraId="00E3D53F">
            <w:pPr>
              <w:numPr>
                <w:ilvl w:val="0"/>
                <w:numId w:val="0"/>
              </w:numPr>
              <w:spacing w:line="400" w:lineRule="exact"/>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kern w:val="0"/>
                <w:sz w:val="24"/>
                <w:szCs w:val="24"/>
                <w:lang w:val="en-US" w:eastAsia="zh-CN"/>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服务措施10分。供应商针对本项目的服务措施，包括①</w:t>
            </w:r>
            <w:r>
              <w:rPr>
                <w:rFonts w:hint="eastAsia" w:ascii="仿宋_GB2312" w:hAnsi="仿宋_GB2312" w:eastAsia="仿宋_GB2312" w:cs="仿宋_GB2312"/>
                <w:sz w:val="24"/>
                <w:szCs w:val="24"/>
                <w:lang w:val="en-US" w:eastAsia="zh-CN"/>
              </w:rPr>
              <w:t>产品质量方案，包括</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产品出现质量问题退换措施；②食品安全管理措施，包括</w:t>
            </w:r>
            <w:r>
              <w:rPr>
                <w:rFonts w:hint="eastAsia" w:ascii="仿宋_GB2312" w:hAnsi="仿宋_GB2312" w:eastAsia="仿宋_GB2312" w:cs="仿宋_GB2312"/>
                <w:sz w:val="24"/>
                <w:szCs w:val="24"/>
                <w:lang w:val="en-US" w:eastAsia="zh-CN"/>
              </w:rPr>
              <w:t>供货渠道及备货方案、仓储管理、食品安全查验机制、食品安全事故的应急处置等</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。内容完善、完全符合项目实际得10分，每有一处缺陷、错误扣2分，扣完为止，未提供不得分。</w:t>
            </w:r>
          </w:p>
          <w:p w14:paraId="1AF2345F">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3.提货劵使用期限4分。使用期限为三年者得4分，一年到两年得2分，一年以内得1分。</w:t>
            </w:r>
          </w:p>
          <w:p w14:paraId="7C0E4CD1">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4.根据需要，对发放的慰问提货券提供定制服务2分。包括印制医院名称、LOGO、IP形象等，以及特定的面额、祝福语等特色服务。</w:t>
            </w:r>
          </w:p>
          <w:p w14:paraId="776C3697">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5.可实现线上发放、签收、提供签收数据等服务。根据投标人提出的方案综合评审，综合较好得4分；综合次之得3分；综合较差得2分及以下。此项满分4分</w:t>
            </w:r>
          </w:p>
          <w:p w14:paraId="379E6FD9">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6.提供配送等服务4分。对院工会集中采购的慰问品（提货劵）提供送货上门、快递配送、配合发放等服务，每项得2分，最高4分。</w:t>
            </w:r>
          </w:p>
        </w:tc>
        <w:tc>
          <w:tcPr>
            <w:tcW w:w="1900" w:type="dxa"/>
            <w:tcBorders>
              <w:top w:val="single" w:color="auto" w:sz="4" w:space="0"/>
              <w:left w:val="single" w:color="auto" w:sz="4" w:space="0"/>
              <w:bottom w:val="single" w:color="auto" w:sz="4" w:space="0"/>
              <w:right w:val="single" w:color="auto" w:sz="4" w:space="0"/>
            </w:tcBorders>
            <w:vAlign w:val="center"/>
          </w:tcPr>
          <w:p w14:paraId="472372AE">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宋体"/>
                <w:color w:val="000000"/>
                <w:kern w:val="0"/>
                <w:sz w:val="24"/>
                <w:szCs w:val="24"/>
                <w:highlight w:val="none"/>
                <w:lang w:val="en-US" w:eastAsia="zh-CN"/>
              </w:rPr>
              <w:t>提供证明或承诺书</w:t>
            </w:r>
          </w:p>
        </w:tc>
      </w:tr>
      <w:tr w14:paraId="5FD7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810" w:type="dxa"/>
            <w:tcBorders>
              <w:top w:val="single" w:color="auto" w:sz="4" w:space="0"/>
              <w:left w:val="single" w:color="auto" w:sz="4" w:space="0"/>
              <w:bottom w:val="single" w:color="auto" w:sz="4" w:space="0"/>
              <w:right w:val="single" w:color="auto" w:sz="4" w:space="0"/>
            </w:tcBorders>
            <w:vAlign w:val="center"/>
          </w:tcPr>
          <w:p w14:paraId="4ABA1824">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p>
        </w:tc>
        <w:tc>
          <w:tcPr>
            <w:tcW w:w="1395" w:type="dxa"/>
            <w:tcBorders>
              <w:top w:val="single" w:color="auto" w:sz="4" w:space="0"/>
              <w:left w:val="single" w:color="auto" w:sz="4" w:space="0"/>
              <w:bottom w:val="single" w:color="auto" w:sz="4" w:space="0"/>
              <w:right w:val="single" w:color="auto" w:sz="4" w:space="0"/>
            </w:tcBorders>
            <w:vAlign w:val="center"/>
          </w:tcPr>
          <w:p w14:paraId="5FCAFA7E">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服务便利性（22分）</w:t>
            </w:r>
          </w:p>
        </w:tc>
        <w:tc>
          <w:tcPr>
            <w:tcW w:w="4215" w:type="dxa"/>
            <w:tcBorders>
              <w:top w:val="single" w:color="auto" w:sz="4" w:space="0"/>
              <w:left w:val="single" w:color="auto" w:sz="4" w:space="0"/>
              <w:bottom w:val="single" w:color="auto" w:sz="4" w:space="0"/>
              <w:right w:val="single" w:color="auto" w:sz="4" w:space="0"/>
            </w:tcBorders>
            <w:vAlign w:val="center"/>
          </w:tcPr>
          <w:p w14:paraId="3E37DF10">
            <w:pPr>
              <w:numPr>
                <w:ilvl w:val="0"/>
                <w:numId w:val="0"/>
              </w:numP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1.供应商实体门店情况</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16分。根据成都市区范围内的实体门店数量进行评分，可使用门店30个及以上者得16分，以下得12分，若无不得分。</w:t>
            </w:r>
          </w:p>
          <w:p w14:paraId="29CA0989">
            <w:pPr>
              <w:numPr>
                <w:ilvl w:val="0"/>
                <w:numId w:val="0"/>
              </w:num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2.供应商同时有网络服务平台的，成都市区范围内可配送到家的得3分；本项最多得3分。</w:t>
            </w:r>
          </w:p>
          <w:p w14:paraId="5789F2EC">
            <w:pPr>
              <w:numPr>
                <w:ilvl w:val="0"/>
                <w:numId w:val="0"/>
              </w:numPr>
              <w:ind w:left="0" w:leftChars="0" w:firstLine="0" w:firstLineChars="0"/>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kern w:val="2"/>
                <w:sz w:val="24"/>
                <w:szCs w:val="24"/>
                <w:lang w:val="en-US" w:eastAsia="zh-CN" w:bidi="ar-SA"/>
              </w:rPr>
              <w:t>3.</w:t>
            </w:r>
            <w:r>
              <w:rPr>
                <w:rFonts w:hint="eastAsia" w:ascii="仿宋_GB2312" w:hAnsi="仿宋_GB2312" w:eastAsia="仿宋_GB2312" w:cs="仿宋_GB2312"/>
                <w:sz w:val="24"/>
                <w:szCs w:val="24"/>
                <w:highlight w:val="none"/>
              </w:rPr>
              <w:t>供应商投标时承诺为采购人提供定制化线上商城</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eastAsia="zh-CN"/>
              </w:rPr>
              <w:t>得</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分。（供应商在投标时承诺成交后在规定时间内完成定制化线上商城的程序）本项最多得</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分。</w:t>
            </w:r>
          </w:p>
        </w:tc>
        <w:tc>
          <w:tcPr>
            <w:tcW w:w="1900" w:type="dxa"/>
            <w:tcBorders>
              <w:top w:val="single" w:color="auto" w:sz="4" w:space="0"/>
              <w:left w:val="single" w:color="auto" w:sz="4" w:space="0"/>
              <w:bottom w:val="single" w:color="auto" w:sz="4" w:space="0"/>
              <w:right w:val="single" w:color="auto" w:sz="4" w:space="0"/>
            </w:tcBorders>
            <w:vAlign w:val="center"/>
          </w:tcPr>
          <w:p w14:paraId="3BEB31DA">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p>
        </w:tc>
      </w:tr>
      <w:tr w14:paraId="0D77F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810" w:type="dxa"/>
            <w:tcBorders>
              <w:top w:val="single" w:color="auto" w:sz="4" w:space="0"/>
              <w:left w:val="single" w:color="auto" w:sz="4" w:space="0"/>
              <w:bottom w:val="single" w:color="auto" w:sz="4" w:space="0"/>
              <w:right w:val="single" w:color="auto" w:sz="4" w:space="0"/>
            </w:tcBorders>
            <w:vAlign w:val="center"/>
          </w:tcPr>
          <w:p w14:paraId="36DD2E3B">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p>
        </w:tc>
        <w:tc>
          <w:tcPr>
            <w:tcW w:w="1395" w:type="dxa"/>
            <w:tcBorders>
              <w:top w:val="single" w:color="auto" w:sz="4" w:space="0"/>
              <w:left w:val="single" w:color="auto" w:sz="4" w:space="0"/>
              <w:bottom w:val="single" w:color="auto" w:sz="4" w:space="0"/>
              <w:right w:val="single" w:color="auto" w:sz="4" w:space="0"/>
            </w:tcBorders>
            <w:vAlign w:val="center"/>
          </w:tcPr>
          <w:p w14:paraId="51CAC3B7">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供应商业绩</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w:t>
            </w:r>
            <w:r>
              <w:rPr>
                <w:rFonts w:hint="eastAsia" w:ascii="仿宋_GB2312" w:hAnsi="仿宋_GB2312" w:eastAsia="仿宋_GB2312" w:cs="仿宋_GB2312"/>
                <w:color w:val="000000" w:themeColor="text1"/>
                <w:sz w:val="24"/>
                <w:szCs w:val="24"/>
                <w14:textFill>
                  <w14:solidFill>
                    <w14:schemeClr w14:val="tx1"/>
                  </w14:solidFill>
                </w14:textFill>
              </w:rPr>
              <w:t>分）</w:t>
            </w:r>
          </w:p>
        </w:tc>
        <w:tc>
          <w:tcPr>
            <w:tcW w:w="4215" w:type="dxa"/>
            <w:tcBorders>
              <w:top w:val="single" w:color="auto" w:sz="4" w:space="0"/>
              <w:left w:val="single" w:color="auto" w:sz="4" w:space="0"/>
              <w:bottom w:val="single" w:color="auto" w:sz="4" w:space="0"/>
              <w:right w:val="single" w:color="auto" w:sz="4" w:space="0"/>
            </w:tcBorders>
            <w:vAlign w:val="center"/>
          </w:tcPr>
          <w:p w14:paraId="3F66B708">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供应商自2021年1月1日以来同类项目业绩（每份合同2分，最高8分，业绩以投标文件中提供的合同复印件为准）</w:t>
            </w:r>
          </w:p>
        </w:tc>
        <w:tc>
          <w:tcPr>
            <w:tcW w:w="1900" w:type="dxa"/>
            <w:tcBorders>
              <w:top w:val="single" w:color="auto" w:sz="4" w:space="0"/>
              <w:left w:val="single" w:color="auto" w:sz="4" w:space="0"/>
              <w:bottom w:val="single" w:color="auto" w:sz="4" w:space="0"/>
              <w:right w:val="single" w:color="auto" w:sz="4" w:space="0"/>
            </w:tcBorders>
            <w:vAlign w:val="center"/>
          </w:tcPr>
          <w:p w14:paraId="2672268A">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p>
        </w:tc>
      </w:tr>
    </w:tbl>
    <w:p w14:paraId="5A7ADA98">
      <w:pPr>
        <w:rPr>
          <w:rFonts w:hint="default" w:eastAsia="宋体"/>
          <w:lang w:val="en-US" w:eastAsia="zh-CN"/>
        </w:rPr>
      </w:pPr>
    </w:p>
    <w:p w14:paraId="0856DD24">
      <w:pPr>
        <w:pStyle w:val="2"/>
        <w:rPr>
          <w:rFonts w:hint="default"/>
          <w:lang w:val="en-US" w:eastAsia="zh-CN"/>
        </w:rPr>
      </w:pPr>
    </w:p>
    <w:p w14:paraId="629685B6">
      <w:pPr>
        <w:rPr>
          <w:rFonts w:hint="default"/>
          <w:lang w:val="en-US" w:eastAsia="zh-CN"/>
        </w:rPr>
      </w:pPr>
    </w:p>
    <w:p w14:paraId="149F0071">
      <w:pPr>
        <w:pStyle w:val="2"/>
        <w:rPr>
          <w:rFonts w:hint="default"/>
          <w:lang w:val="en-US" w:eastAsia="zh-CN"/>
        </w:rPr>
      </w:pPr>
    </w:p>
    <w:p w14:paraId="7627B960">
      <w:pPr>
        <w:rPr>
          <w:rFonts w:hint="default"/>
          <w:lang w:val="en-US" w:eastAsia="zh-CN"/>
        </w:rPr>
      </w:pPr>
    </w:p>
    <w:p w14:paraId="2D359FE5">
      <w:pPr>
        <w:pStyle w:val="2"/>
        <w:rPr>
          <w:rFonts w:hint="default"/>
          <w:lang w:val="en-US" w:eastAsia="zh-CN"/>
        </w:rPr>
      </w:pPr>
    </w:p>
    <w:p w14:paraId="35CDC57E">
      <w:pPr>
        <w:rPr>
          <w:rFonts w:hint="default"/>
          <w:lang w:val="en-US" w:eastAsia="zh-CN"/>
        </w:rPr>
      </w:pPr>
    </w:p>
    <w:p w14:paraId="779562EC">
      <w:pPr>
        <w:pStyle w:val="2"/>
        <w:rPr>
          <w:rFonts w:hint="default"/>
          <w:lang w:val="en-US" w:eastAsia="zh-CN"/>
        </w:rPr>
      </w:pPr>
    </w:p>
    <w:p w14:paraId="700291A3">
      <w:pPr>
        <w:jc w:val="center"/>
        <w:rPr>
          <w:rFonts w:hint="default"/>
          <w:lang w:val="en-US" w:eastAsia="zh-CN"/>
        </w:rPr>
      </w:pPr>
    </w:p>
    <w:p w14:paraId="597A3C01">
      <w:pPr>
        <w:rPr>
          <w:rFonts w:hint="default"/>
          <w:lang w:val="en-US" w:eastAsia="zh-CN"/>
        </w:rPr>
      </w:pPr>
    </w:p>
    <w:p w14:paraId="766E4F52">
      <w:pPr>
        <w:pStyle w:val="2"/>
        <w:rPr>
          <w:rFonts w:hint="default"/>
          <w:lang w:val="en-US" w:eastAsia="zh-CN"/>
        </w:rPr>
      </w:pPr>
    </w:p>
    <w:p w14:paraId="1048EE22">
      <w:pPr>
        <w:rPr>
          <w:rFonts w:hint="default"/>
          <w:lang w:val="en-US" w:eastAsia="zh-CN"/>
        </w:rPr>
      </w:pPr>
    </w:p>
    <w:p w14:paraId="6DD3EEB0">
      <w:pPr>
        <w:pStyle w:val="2"/>
        <w:rPr>
          <w:rFonts w:hint="default"/>
          <w:lang w:val="en-US" w:eastAsia="zh-CN"/>
        </w:rPr>
      </w:pPr>
    </w:p>
    <w:p w14:paraId="0B99C7CD">
      <w:pPr>
        <w:rPr>
          <w:rFonts w:hint="default"/>
          <w:lang w:val="en-US" w:eastAsia="zh-CN"/>
        </w:rPr>
      </w:pPr>
    </w:p>
    <w:p w14:paraId="116E7328">
      <w:pPr>
        <w:rPr>
          <w:rFonts w:hint="default"/>
          <w:lang w:val="en-US" w:eastAsia="zh-CN"/>
        </w:rPr>
      </w:pPr>
    </w:p>
    <w:p w14:paraId="004D4E7E">
      <w:pPr>
        <w:pStyle w:val="2"/>
        <w:jc w:val="center"/>
        <w:rPr>
          <w:rFonts w:hint="eastAsia" w:ascii="宋体" w:hAnsi="宋体" w:eastAsia="宋体" w:cs="宋体"/>
          <w:b/>
          <w:sz w:val="28"/>
          <w:szCs w:val="28"/>
          <w:lang w:val="en-US" w:eastAsia="zh-CN"/>
        </w:rPr>
      </w:pPr>
    </w:p>
    <w:p w14:paraId="09D2B752">
      <w:pPr>
        <w:pStyle w:val="2"/>
        <w:jc w:val="center"/>
        <w:rPr>
          <w:rFonts w:hint="default"/>
          <w:lang w:val="en-US" w:eastAsia="zh-CN"/>
        </w:rPr>
      </w:pPr>
      <w:r>
        <w:rPr>
          <w:rFonts w:hint="eastAsia" w:ascii="宋体" w:hAnsi="宋体" w:eastAsia="宋体" w:cs="宋体"/>
          <w:b/>
          <w:sz w:val="28"/>
          <w:szCs w:val="28"/>
          <w:lang w:val="en-US" w:eastAsia="zh-CN"/>
        </w:rPr>
        <w:t>综合评分明细表</w:t>
      </w:r>
      <w:r>
        <w:rPr>
          <w:rFonts w:hint="eastAsia" w:ascii="宋体" w:hAnsi="宋体" w:cs="宋体"/>
          <w:b/>
          <w:sz w:val="28"/>
          <w:szCs w:val="28"/>
          <w:lang w:val="en-US" w:eastAsia="zh-CN"/>
        </w:rPr>
        <w:t>（线上集采平台）</w:t>
      </w:r>
    </w:p>
    <w:tbl>
      <w:tblPr>
        <w:tblStyle w:val="6"/>
        <w:tblpPr w:leftFromText="180" w:rightFromText="180" w:vertAnchor="page" w:horzAnchor="page" w:tblpX="1973" w:tblpY="2938"/>
        <w:tblOverlap w:val="never"/>
        <w:tblW w:w="8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395"/>
        <w:gridCol w:w="4215"/>
        <w:gridCol w:w="1900"/>
      </w:tblGrid>
      <w:tr w14:paraId="1B3D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0" w:type="dxa"/>
            <w:tcBorders>
              <w:top w:val="single" w:color="auto" w:sz="4" w:space="0"/>
              <w:left w:val="single" w:color="auto" w:sz="4" w:space="0"/>
              <w:bottom w:val="single" w:color="auto" w:sz="4" w:space="0"/>
              <w:right w:val="single" w:color="auto" w:sz="4" w:space="0"/>
            </w:tcBorders>
            <w:vAlign w:val="center"/>
          </w:tcPr>
          <w:p w14:paraId="5E149A92">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序号</w:t>
            </w:r>
          </w:p>
        </w:tc>
        <w:tc>
          <w:tcPr>
            <w:tcW w:w="1395" w:type="dxa"/>
            <w:tcBorders>
              <w:top w:val="single" w:color="auto" w:sz="4" w:space="0"/>
              <w:left w:val="single" w:color="auto" w:sz="4" w:space="0"/>
              <w:bottom w:val="single" w:color="auto" w:sz="4" w:space="0"/>
              <w:right w:val="single" w:color="auto" w:sz="4" w:space="0"/>
            </w:tcBorders>
            <w:vAlign w:val="center"/>
          </w:tcPr>
          <w:p w14:paraId="6A5A967B">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评分项目</w:t>
            </w:r>
          </w:p>
        </w:tc>
        <w:tc>
          <w:tcPr>
            <w:tcW w:w="4215" w:type="dxa"/>
            <w:tcBorders>
              <w:top w:val="single" w:color="auto" w:sz="4" w:space="0"/>
              <w:left w:val="single" w:color="auto" w:sz="4" w:space="0"/>
              <w:bottom w:val="single" w:color="auto" w:sz="4" w:space="0"/>
              <w:right w:val="single" w:color="auto" w:sz="4" w:space="0"/>
            </w:tcBorders>
            <w:vAlign w:val="center"/>
          </w:tcPr>
          <w:p w14:paraId="153CA697">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评分标准</w:t>
            </w:r>
          </w:p>
        </w:tc>
        <w:tc>
          <w:tcPr>
            <w:tcW w:w="1900" w:type="dxa"/>
            <w:tcBorders>
              <w:top w:val="single" w:color="auto" w:sz="4" w:space="0"/>
              <w:left w:val="single" w:color="auto" w:sz="4" w:space="0"/>
              <w:bottom w:val="single" w:color="auto" w:sz="4" w:space="0"/>
              <w:right w:val="single" w:color="auto" w:sz="4" w:space="0"/>
            </w:tcBorders>
            <w:vAlign w:val="center"/>
          </w:tcPr>
          <w:p w14:paraId="18DE4FA4">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说明</w:t>
            </w:r>
          </w:p>
        </w:tc>
      </w:tr>
      <w:tr w14:paraId="2278D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trPr>
        <w:tc>
          <w:tcPr>
            <w:tcW w:w="810" w:type="dxa"/>
            <w:tcBorders>
              <w:top w:val="single" w:color="auto" w:sz="4" w:space="0"/>
              <w:left w:val="single" w:color="auto" w:sz="4" w:space="0"/>
              <w:bottom w:val="single" w:color="auto" w:sz="4" w:space="0"/>
              <w:right w:val="single" w:color="auto" w:sz="4" w:space="0"/>
            </w:tcBorders>
            <w:vAlign w:val="center"/>
          </w:tcPr>
          <w:p w14:paraId="65275793">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1395" w:type="dxa"/>
            <w:tcBorders>
              <w:top w:val="single" w:color="auto" w:sz="4" w:space="0"/>
              <w:left w:val="single" w:color="auto" w:sz="4" w:space="0"/>
              <w:bottom w:val="single" w:color="auto" w:sz="4" w:space="0"/>
              <w:right w:val="single" w:color="auto" w:sz="4" w:space="0"/>
            </w:tcBorders>
            <w:vAlign w:val="center"/>
          </w:tcPr>
          <w:p w14:paraId="32556830">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仿宋_GB2312" w:hAnsi="宋体" w:eastAsia="仿宋_GB2312" w:cs="宋体"/>
                <w:color w:val="000000"/>
                <w:kern w:val="0"/>
                <w:sz w:val="24"/>
                <w:szCs w:val="24"/>
              </w:rPr>
              <w:t>报价</w:t>
            </w:r>
            <w:r>
              <w:rPr>
                <w:rFonts w:hint="eastAsia" w:ascii="仿宋_GB2312" w:hAnsi="宋体" w:eastAsia="仿宋_GB2312" w:cs="宋体"/>
                <w:color w:val="000000"/>
                <w:kern w:val="0"/>
                <w:sz w:val="24"/>
                <w:szCs w:val="24"/>
                <w:lang w:val="en-US" w:eastAsia="zh-CN"/>
              </w:rPr>
              <w:t>2</w:t>
            </w:r>
            <w:r>
              <w:rPr>
                <w:rFonts w:hint="eastAsia" w:ascii="仿宋_GB2312" w:hAnsi="宋体" w:eastAsia="仿宋_GB2312" w:cs="宋体"/>
                <w:color w:val="000000"/>
                <w:kern w:val="0"/>
                <w:sz w:val="24"/>
                <w:szCs w:val="24"/>
              </w:rPr>
              <w:t>0%</w:t>
            </w:r>
          </w:p>
        </w:tc>
        <w:tc>
          <w:tcPr>
            <w:tcW w:w="4215" w:type="dxa"/>
            <w:tcBorders>
              <w:top w:val="single" w:color="auto" w:sz="4" w:space="0"/>
              <w:left w:val="single" w:color="auto" w:sz="4" w:space="0"/>
              <w:bottom w:val="single" w:color="auto" w:sz="4" w:space="0"/>
              <w:right w:val="single" w:color="auto" w:sz="4" w:space="0"/>
            </w:tcBorders>
            <w:vAlign w:val="center"/>
          </w:tcPr>
          <w:p w14:paraId="2415D0F0">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供应商对券面基准金额（劵面基准金额 ）进行上浮比例报价，满足磋商文件要求且投标报价最高的投标报价为评审基准价，其价格分为满分。其他供应商的价格分统一按照下列公式计算：</w:t>
            </w:r>
          </w:p>
          <w:p w14:paraId="11532F9C">
            <w:pPr>
              <w:jc w:val="left"/>
              <w:rPr>
                <w:rFonts w:hint="eastAsia" w:ascii="宋体" w:hAnsi="宋体" w:eastAsia="宋体" w:cs="宋体"/>
                <w:sz w:val="24"/>
                <w:szCs w:val="24"/>
                <w:lang w:val="en-US" w:eastAsia="zh-CN"/>
              </w:rPr>
            </w:pPr>
            <w:r>
              <w:rPr>
                <w:rFonts w:hint="eastAsia" w:ascii="仿宋_GB2312" w:hAnsi="仿宋_GB2312" w:eastAsia="仿宋_GB2312" w:cs="仿宋_GB2312"/>
                <w:sz w:val="24"/>
                <w:szCs w:val="24"/>
              </w:rPr>
              <w:t>投标报价得分=(评标基准价/投标报价）×100×20%。</w:t>
            </w:r>
          </w:p>
        </w:tc>
        <w:tc>
          <w:tcPr>
            <w:tcW w:w="1900" w:type="dxa"/>
            <w:tcBorders>
              <w:top w:val="single" w:color="auto" w:sz="4" w:space="0"/>
              <w:left w:val="single" w:color="auto" w:sz="4" w:space="0"/>
              <w:bottom w:val="single" w:color="auto" w:sz="4" w:space="0"/>
              <w:right w:val="single" w:color="auto" w:sz="4" w:space="0"/>
            </w:tcBorders>
            <w:vAlign w:val="center"/>
          </w:tcPr>
          <w:p w14:paraId="4F0C5BA3">
            <w:pPr>
              <w:rPr>
                <w:rFonts w:hint="eastAsia" w:ascii="宋体" w:hAnsi="宋体" w:eastAsia="宋体" w:cs="宋体"/>
                <w:color w:val="000000" w:themeColor="text1"/>
                <w:sz w:val="24"/>
                <w:szCs w:val="24"/>
                <w:lang w:val="en-US" w:eastAsia="zh-CN"/>
                <w14:textFill>
                  <w14:solidFill>
                    <w14:schemeClr w14:val="tx1"/>
                  </w14:solidFill>
                </w14:textFill>
              </w:rPr>
            </w:pPr>
          </w:p>
        </w:tc>
      </w:tr>
      <w:tr w14:paraId="62601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trPr>
        <w:tc>
          <w:tcPr>
            <w:tcW w:w="810" w:type="dxa"/>
            <w:tcBorders>
              <w:top w:val="single" w:color="auto" w:sz="4" w:space="0"/>
              <w:left w:val="single" w:color="auto" w:sz="4" w:space="0"/>
              <w:bottom w:val="single" w:color="auto" w:sz="4" w:space="0"/>
              <w:right w:val="single" w:color="auto" w:sz="4" w:space="0"/>
            </w:tcBorders>
            <w:vAlign w:val="center"/>
          </w:tcPr>
          <w:p w14:paraId="51D987A2">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w:t>
            </w:r>
          </w:p>
        </w:tc>
        <w:tc>
          <w:tcPr>
            <w:tcW w:w="1395" w:type="dxa"/>
            <w:tcBorders>
              <w:top w:val="single" w:color="auto" w:sz="4" w:space="0"/>
              <w:left w:val="single" w:color="auto" w:sz="4" w:space="0"/>
              <w:bottom w:val="single" w:color="auto" w:sz="4" w:space="0"/>
              <w:right w:val="single" w:color="auto" w:sz="4" w:space="0"/>
            </w:tcBorders>
            <w:vAlign w:val="center"/>
          </w:tcPr>
          <w:p w14:paraId="76C8020F">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center"/>
              <w:textAlignment w:val="auto"/>
              <w:rPr>
                <w:rFonts w:hint="eastAsia"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lang w:val="en-US" w:eastAsia="zh-CN"/>
              </w:rPr>
              <w:t>实施方案</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40分</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tc>
        <w:tc>
          <w:tcPr>
            <w:tcW w:w="4215" w:type="dxa"/>
            <w:tcBorders>
              <w:top w:val="single" w:color="auto" w:sz="4" w:space="0"/>
              <w:left w:val="single" w:color="auto" w:sz="4" w:space="0"/>
              <w:bottom w:val="single" w:color="auto" w:sz="4" w:space="0"/>
              <w:right w:val="single" w:color="auto" w:sz="4" w:space="0"/>
            </w:tcBorders>
            <w:vAlign w:val="center"/>
          </w:tcPr>
          <w:p w14:paraId="44CE3363">
            <w:pPr>
              <w:numPr>
                <w:ilvl w:val="0"/>
                <w:numId w:val="0"/>
              </w:numPr>
              <w:spacing w:line="400" w:lineRule="exac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1.性价比8分。提供不少于米、面、粮油等产品的价格。综合考虑品牌、产品质量、价格及丰富度情况。综合较好得8-6分；综合次之得5-3分；综合较差得2分及以下。</w:t>
            </w:r>
          </w:p>
          <w:p w14:paraId="0E0543A9">
            <w:pPr>
              <w:numPr>
                <w:ilvl w:val="0"/>
                <w:numId w:val="0"/>
              </w:numPr>
              <w:spacing w:line="400" w:lineRule="exact"/>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kern w:val="0"/>
                <w:sz w:val="24"/>
                <w:szCs w:val="24"/>
                <w:lang w:val="en-US" w:eastAsia="zh-CN"/>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服务措施10分。供应商针对本项目的服务措施，包括①</w:t>
            </w:r>
            <w:r>
              <w:rPr>
                <w:rFonts w:hint="eastAsia" w:ascii="仿宋_GB2312" w:hAnsi="仿宋_GB2312" w:eastAsia="仿宋_GB2312" w:cs="仿宋_GB2312"/>
                <w:sz w:val="24"/>
                <w:szCs w:val="24"/>
                <w:lang w:val="en-US" w:eastAsia="zh-CN"/>
              </w:rPr>
              <w:t>产品质量方案，包括</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产品出现质量问题退换措施；②食品安全管理措施，包括</w:t>
            </w:r>
            <w:r>
              <w:rPr>
                <w:rFonts w:hint="eastAsia" w:ascii="仿宋_GB2312" w:hAnsi="仿宋_GB2312" w:eastAsia="仿宋_GB2312" w:cs="仿宋_GB2312"/>
                <w:sz w:val="24"/>
                <w:szCs w:val="24"/>
                <w:lang w:val="en-US" w:eastAsia="zh-CN"/>
              </w:rPr>
              <w:t>供货渠道及备货方案、仓储管理、食品安全查验机制、食品安全事故的应急处置等</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。内容完善、完全符合项目实际得10分，每有一处缺陷、错误扣1分，扣完为止，未提供不得分。</w:t>
            </w:r>
          </w:p>
          <w:p w14:paraId="014281DE">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3.提货劵使用期限4分。使用期限为三年者得4分，一年到两年得2分，一年以内得1分</w:t>
            </w:r>
            <w:bookmarkStart w:id="0" w:name="_GoBack"/>
            <w:bookmarkEnd w:id="0"/>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p>
          <w:p w14:paraId="24CF4C7F">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4.可实现线上发放、签收、提供签收数据等服务。根据投标人提出的方案综合评审，综合较好得12-10分；综合次之得9-7分；综合较差得6分及以下。此项满分12分；</w:t>
            </w:r>
          </w:p>
          <w:p w14:paraId="08F0846C">
            <w:pPr>
              <w:rPr>
                <w:rFonts w:hint="eastAsia" w:ascii="仿宋_GB2312" w:hAnsi="仿宋_GB2312" w:eastAsia="仿宋_GB2312" w:cs="仿宋_GB2312"/>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5.提供配送等服务6分。对院工会集中采购的慰问品（提货劵）提供送货上门、快递配送、配合发放等服务，每项得2分，最高6分。</w:t>
            </w:r>
          </w:p>
        </w:tc>
        <w:tc>
          <w:tcPr>
            <w:tcW w:w="1900" w:type="dxa"/>
            <w:tcBorders>
              <w:top w:val="single" w:color="auto" w:sz="4" w:space="0"/>
              <w:left w:val="single" w:color="auto" w:sz="4" w:space="0"/>
              <w:bottom w:val="single" w:color="auto" w:sz="4" w:space="0"/>
              <w:right w:val="single" w:color="auto" w:sz="4" w:space="0"/>
            </w:tcBorders>
            <w:vAlign w:val="center"/>
          </w:tcPr>
          <w:p w14:paraId="505341BD">
            <w:pPr>
              <w:rPr>
                <w:rFonts w:hint="eastAsia" w:ascii="宋体" w:hAnsi="宋体" w:eastAsia="宋体" w:cs="宋体"/>
                <w:color w:val="000000" w:themeColor="text1"/>
                <w:sz w:val="24"/>
                <w:szCs w:val="24"/>
                <w:lang w:val="en-US" w:eastAsia="zh-CN"/>
                <w14:textFill>
                  <w14:solidFill>
                    <w14:schemeClr w14:val="tx1"/>
                  </w14:solidFill>
                </w14:textFill>
              </w:rPr>
            </w:pPr>
          </w:p>
        </w:tc>
      </w:tr>
      <w:tr w14:paraId="03792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trPr>
        <w:tc>
          <w:tcPr>
            <w:tcW w:w="810" w:type="dxa"/>
            <w:tcBorders>
              <w:top w:val="single" w:color="auto" w:sz="4" w:space="0"/>
              <w:left w:val="single" w:color="auto" w:sz="4" w:space="0"/>
              <w:bottom w:val="single" w:color="auto" w:sz="4" w:space="0"/>
              <w:right w:val="single" w:color="auto" w:sz="4" w:space="0"/>
            </w:tcBorders>
            <w:vAlign w:val="center"/>
          </w:tcPr>
          <w:p w14:paraId="53986896">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w:t>
            </w:r>
          </w:p>
        </w:tc>
        <w:tc>
          <w:tcPr>
            <w:tcW w:w="1395" w:type="dxa"/>
            <w:tcBorders>
              <w:top w:val="single" w:color="auto" w:sz="4" w:space="0"/>
              <w:left w:val="single" w:color="auto" w:sz="4" w:space="0"/>
              <w:bottom w:val="single" w:color="auto" w:sz="4" w:space="0"/>
              <w:right w:val="single" w:color="auto" w:sz="4" w:space="0"/>
            </w:tcBorders>
            <w:vAlign w:val="center"/>
          </w:tcPr>
          <w:p w14:paraId="51B93116">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宋体" w:eastAsia="仿宋_GB2312" w:cs="宋体"/>
                <w:color w:val="000000"/>
                <w:kern w:val="0"/>
                <w:sz w:val="24"/>
                <w:szCs w:val="24"/>
                <w:lang w:val="en-US" w:eastAsia="zh-CN"/>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服务便利性（22分）</w:t>
            </w:r>
          </w:p>
        </w:tc>
        <w:tc>
          <w:tcPr>
            <w:tcW w:w="4215" w:type="dxa"/>
            <w:tcBorders>
              <w:top w:val="single" w:color="auto" w:sz="4" w:space="0"/>
              <w:left w:val="single" w:color="auto" w:sz="4" w:space="0"/>
              <w:bottom w:val="single" w:color="auto" w:sz="4" w:space="0"/>
              <w:right w:val="single" w:color="auto" w:sz="4" w:space="0"/>
            </w:tcBorders>
            <w:vAlign w:val="center"/>
          </w:tcPr>
          <w:p w14:paraId="31384ED6">
            <w:pPr>
              <w:numPr>
                <w:ilvl w:val="0"/>
                <w:numId w:val="0"/>
              </w:numP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1.</w:t>
            </w:r>
            <w:r>
              <w:rPr>
                <w:rFonts w:hint="eastAsia" w:ascii="仿宋_GB2312" w:hAnsi="宋体" w:eastAsia="仿宋_GB2312" w:cs="宋体"/>
                <w:color w:val="000000"/>
                <w:kern w:val="0"/>
                <w:sz w:val="24"/>
                <w:szCs w:val="24"/>
                <w:highlight w:val="none"/>
                <w:lang w:val="en-US" w:eastAsia="zh-CN"/>
              </w:rPr>
              <w:t>根据可使用品牌数量进行评分，可使用品牌有3家得5分，每增加2个品牌加1分，最多加5分，此项满分10分；</w:t>
            </w:r>
          </w:p>
          <w:p w14:paraId="64D2438A">
            <w:pPr>
              <w:numPr>
                <w:ilvl w:val="0"/>
                <w:numId w:val="0"/>
              </w:num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r>
              <w:rPr>
                <w:rFonts w:hint="eastAsia" w:ascii="仿宋_GB2312" w:hAnsi="宋体" w:eastAsia="仿宋_GB2312" w:cs="宋体"/>
                <w:color w:val="000000"/>
                <w:kern w:val="0"/>
                <w:sz w:val="24"/>
                <w:szCs w:val="24"/>
                <w:highlight w:val="none"/>
                <w:lang w:val="en-US" w:eastAsia="zh-CN"/>
              </w:rPr>
              <w:t>根据成都市区范围内的可使用门店数量进行评分，可使用门店有30家得4分，每增加5个实体门店加4分，最多加4分，此项满8分；</w:t>
            </w:r>
          </w:p>
          <w:p w14:paraId="1AB0B2E4">
            <w:pPr>
              <w:numPr>
                <w:ilvl w:val="0"/>
                <w:numId w:val="0"/>
              </w:numPr>
              <w:ind w:left="0" w:leftChars="0" w:firstLine="0" w:firstLine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kern w:val="2"/>
                <w:sz w:val="24"/>
                <w:szCs w:val="24"/>
                <w:lang w:val="en-US" w:eastAsia="zh-CN" w:bidi="ar-SA"/>
              </w:rPr>
              <w:t>3.</w:t>
            </w:r>
            <w:r>
              <w:rPr>
                <w:rFonts w:hint="eastAsia" w:ascii="仿宋_GB2312" w:hAnsi="仿宋_GB2312" w:eastAsia="仿宋_GB2312" w:cs="仿宋_GB2312"/>
                <w:sz w:val="24"/>
                <w:szCs w:val="24"/>
              </w:rPr>
              <w:t>供应商投标时承诺为采购人提供定制化线上商城的</w:t>
            </w:r>
            <w:r>
              <w:rPr>
                <w:rFonts w:hint="eastAsia" w:ascii="仿宋_GB2312" w:hAnsi="仿宋_GB2312" w:eastAsia="仿宋_GB2312" w:cs="仿宋_GB2312"/>
                <w:sz w:val="24"/>
                <w:szCs w:val="24"/>
                <w:lang w:eastAsia="zh-CN"/>
              </w:rPr>
              <w:t>得</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分。（供应商在投标时承诺成交后在规定时间内完成定制化线上商城的程序）本项最多得</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分。</w:t>
            </w:r>
          </w:p>
        </w:tc>
        <w:tc>
          <w:tcPr>
            <w:tcW w:w="1900" w:type="dxa"/>
            <w:tcBorders>
              <w:top w:val="single" w:color="auto" w:sz="4" w:space="0"/>
              <w:left w:val="single" w:color="auto" w:sz="4" w:space="0"/>
              <w:bottom w:val="single" w:color="auto" w:sz="4" w:space="0"/>
              <w:right w:val="single" w:color="auto" w:sz="4" w:space="0"/>
            </w:tcBorders>
            <w:vAlign w:val="center"/>
          </w:tcPr>
          <w:p w14:paraId="3AC9F4AE">
            <w:pP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仿宋_GB2312" w:hAnsi="宋体" w:eastAsia="仿宋_GB2312" w:cs="宋体"/>
                <w:color w:val="000000"/>
                <w:kern w:val="0"/>
                <w:sz w:val="24"/>
                <w:szCs w:val="24"/>
                <w:highlight w:val="none"/>
                <w:lang w:val="en-US" w:eastAsia="zh-CN"/>
              </w:rPr>
              <w:t>提供证明或承诺书</w:t>
            </w:r>
          </w:p>
        </w:tc>
      </w:tr>
      <w:tr w14:paraId="7F7F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10" w:type="dxa"/>
            <w:tcBorders>
              <w:top w:val="single" w:color="auto" w:sz="4" w:space="0"/>
              <w:left w:val="single" w:color="auto" w:sz="4" w:space="0"/>
              <w:bottom w:val="single" w:color="auto" w:sz="4" w:space="0"/>
              <w:right w:val="single" w:color="auto" w:sz="4" w:space="0"/>
            </w:tcBorders>
            <w:vAlign w:val="center"/>
          </w:tcPr>
          <w:p w14:paraId="77CE6B0C">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w:t>
            </w:r>
          </w:p>
        </w:tc>
        <w:tc>
          <w:tcPr>
            <w:tcW w:w="1395" w:type="dxa"/>
            <w:tcBorders>
              <w:top w:val="single" w:color="auto" w:sz="4" w:space="0"/>
              <w:left w:val="single" w:color="auto" w:sz="4" w:space="0"/>
              <w:bottom w:val="single" w:color="auto" w:sz="4" w:space="0"/>
              <w:right w:val="single" w:color="auto" w:sz="4" w:space="0"/>
            </w:tcBorders>
            <w:vAlign w:val="center"/>
          </w:tcPr>
          <w:p w14:paraId="63CBBFBF">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供应商业绩</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w:t>
            </w:r>
            <w:r>
              <w:rPr>
                <w:rFonts w:hint="eastAsia" w:ascii="仿宋_GB2312" w:hAnsi="仿宋_GB2312" w:eastAsia="仿宋_GB2312" w:cs="仿宋_GB2312"/>
                <w:color w:val="000000" w:themeColor="text1"/>
                <w:sz w:val="24"/>
                <w:szCs w:val="24"/>
                <w14:textFill>
                  <w14:solidFill>
                    <w14:schemeClr w14:val="tx1"/>
                  </w14:solidFill>
                </w14:textFill>
              </w:rPr>
              <w:t>分）</w:t>
            </w:r>
          </w:p>
        </w:tc>
        <w:tc>
          <w:tcPr>
            <w:tcW w:w="4215" w:type="dxa"/>
            <w:tcBorders>
              <w:top w:val="single" w:color="auto" w:sz="4" w:space="0"/>
              <w:left w:val="single" w:color="auto" w:sz="4" w:space="0"/>
              <w:bottom w:val="single" w:color="auto" w:sz="4" w:space="0"/>
              <w:right w:val="single" w:color="auto" w:sz="4" w:space="0"/>
            </w:tcBorders>
            <w:vAlign w:val="center"/>
          </w:tcPr>
          <w:p w14:paraId="0211A535">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供应商自2021年1月1日以来同类项目业绩（每份合同2分，最高8分，业绩以投标文件中提供的合同复印件为准）</w:t>
            </w:r>
          </w:p>
        </w:tc>
        <w:tc>
          <w:tcPr>
            <w:tcW w:w="1900" w:type="dxa"/>
            <w:tcBorders>
              <w:top w:val="single" w:color="auto" w:sz="4" w:space="0"/>
              <w:left w:val="single" w:color="auto" w:sz="4" w:space="0"/>
              <w:bottom w:val="single" w:color="auto" w:sz="4" w:space="0"/>
              <w:right w:val="single" w:color="auto" w:sz="4" w:space="0"/>
            </w:tcBorders>
            <w:vAlign w:val="center"/>
          </w:tcPr>
          <w:p w14:paraId="36CFB9CB">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p>
        </w:tc>
      </w:tr>
    </w:tbl>
    <w:p w14:paraId="4497041A">
      <w:pPr>
        <w:rPr>
          <w:rFonts w:hint="default" w:eastAsia="宋体"/>
          <w:lang w:val="en-US" w:eastAsia="zh-CN"/>
        </w:rPr>
      </w:pPr>
    </w:p>
    <w:p w14:paraId="1FBA9AA5">
      <w:pPr>
        <w:pStyle w:val="2"/>
        <w:rPr>
          <w:rFonts w:hint="default"/>
          <w:lang w:val="en-US" w:eastAsia="zh-CN"/>
        </w:rPr>
      </w:pPr>
    </w:p>
    <w:p w14:paraId="163652B7">
      <w:pPr>
        <w:pStyle w:val="2"/>
        <w:rPr>
          <w:rFonts w:hint="default"/>
          <w:lang w:val="en-US" w:eastAsia="zh-CN"/>
        </w:rPr>
      </w:pPr>
    </w:p>
    <w:p w14:paraId="1C1D32B4">
      <w:pPr>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63CC705F"/>
    <w:rsid w:val="000F5F0F"/>
    <w:rsid w:val="0015682E"/>
    <w:rsid w:val="02107904"/>
    <w:rsid w:val="028C051D"/>
    <w:rsid w:val="03305D42"/>
    <w:rsid w:val="0D984ECC"/>
    <w:rsid w:val="0E9432F4"/>
    <w:rsid w:val="166761D4"/>
    <w:rsid w:val="196A7A58"/>
    <w:rsid w:val="19755D1C"/>
    <w:rsid w:val="1D5F73D7"/>
    <w:rsid w:val="1F150F90"/>
    <w:rsid w:val="259A4E30"/>
    <w:rsid w:val="265A3664"/>
    <w:rsid w:val="2B4719FF"/>
    <w:rsid w:val="2BE305FB"/>
    <w:rsid w:val="2C3744CA"/>
    <w:rsid w:val="2D7F70E6"/>
    <w:rsid w:val="2E2043CE"/>
    <w:rsid w:val="31340992"/>
    <w:rsid w:val="31484293"/>
    <w:rsid w:val="32780D9A"/>
    <w:rsid w:val="32FF72A7"/>
    <w:rsid w:val="3AD510B0"/>
    <w:rsid w:val="3E802EF7"/>
    <w:rsid w:val="3F533F56"/>
    <w:rsid w:val="40D0279D"/>
    <w:rsid w:val="43B37DC1"/>
    <w:rsid w:val="444E4A33"/>
    <w:rsid w:val="4538576E"/>
    <w:rsid w:val="4B106A1B"/>
    <w:rsid w:val="4B120400"/>
    <w:rsid w:val="4BBF09A8"/>
    <w:rsid w:val="4BFC1F5C"/>
    <w:rsid w:val="4D170D8C"/>
    <w:rsid w:val="4D9E6C78"/>
    <w:rsid w:val="4E32686D"/>
    <w:rsid w:val="53E10928"/>
    <w:rsid w:val="590D5D3B"/>
    <w:rsid w:val="59563FA0"/>
    <w:rsid w:val="5E6B109B"/>
    <w:rsid w:val="5F145314"/>
    <w:rsid w:val="5F492BBF"/>
    <w:rsid w:val="60F8558A"/>
    <w:rsid w:val="63132C95"/>
    <w:rsid w:val="63CC705F"/>
    <w:rsid w:val="66134265"/>
    <w:rsid w:val="684024CC"/>
    <w:rsid w:val="68650764"/>
    <w:rsid w:val="6B2856E8"/>
    <w:rsid w:val="6BCC0CBD"/>
    <w:rsid w:val="705C5332"/>
    <w:rsid w:val="70B76B39"/>
    <w:rsid w:val="71716735"/>
    <w:rsid w:val="72186DEE"/>
    <w:rsid w:val="748D63D4"/>
    <w:rsid w:val="78742949"/>
    <w:rsid w:val="7A87780D"/>
    <w:rsid w:val="7CCE7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szCs w:val="24"/>
    </w:rPr>
  </w:style>
  <w:style w:type="paragraph" w:styleId="4">
    <w:name w:val="Normal Indent"/>
    <w:basedOn w:val="1"/>
    <w:qFormat/>
    <w:uiPriority w:val="0"/>
    <w:pPr>
      <w:ind w:firstLine="420" w:firstLineChars="20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Text"/>
    <w:basedOn w:val="1"/>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1617</Words>
  <Characters>1690</Characters>
  <Lines>0</Lines>
  <Paragraphs>0</Paragraphs>
  <TotalTime>0</TotalTime>
  <ScaleCrop>false</ScaleCrop>
  <LinksUpToDate>false</LinksUpToDate>
  <CharactersWithSpaces>1694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2022-06-16T02:53:00Z</dcterms:created>
  <dc:creator>Claire</dc:creator>
  <cp:lastModifiedBy>张湄</cp:lastModifiedBy>
  <cp:lastPrinted>2024-08-14T00:44:00Z</cp:lastPrinted>
  <dcterms:modified xsi:type="dcterms:W3CDTF">2024-08-16T03:05:41Z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6CC36346F5DA45FFBE81EF7DDF4AF37B_13</vt:lpwstr>
  </property>
</Properties>
</file>