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487" w:type="dxa"/>
            <w:vAlign w:val="center"/>
          </w:tcPr>
          <w:p>
            <w:pPr>
              <w:spacing w:line="360" w:lineRule="exact"/>
              <w:jc w:val="center"/>
              <w:rPr>
                <w:rFonts w:ascii="宋体" w:hAnsi="Times New Roman" w:eastAsia="宋体" w:cs="Times New Roman"/>
              </w:rPr>
            </w:pPr>
            <w:r>
              <w:rPr>
                <w:rFonts w:hint="eastAsia" w:ascii="宋体" w:hAnsi="宋体" w:eastAsia="宋体" w:cs="Times New Roman"/>
                <w:b w:val="0"/>
                <w:bCs w:val="0"/>
                <w:kern w:val="2"/>
                <w:sz w:val="21"/>
                <w:szCs w:val="21"/>
                <w:lang w:val="en-US" w:eastAsia="zh-CN" w:bidi="ar-SA"/>
              </w:rPr>
              <w:t>老年人体质检测一体机</w:t>
            </w:r>
          </w:p>
        </w:tc>
        <w:tc>
          <w:tcPr>
            <w:tcW w:w="1183" w:type="dxa"/>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1台</w:t>
            </w:r>
          </w:p>
        </w:tc>
        <w:tc>
          <w:tcPr>
            <w:tcW w:w="1454" w:type="dxa"/>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9.3</w:t>
            </w:r>
          </w:p>
        </w:tc>
      </w:tr>
    </w:tbl>
    <w:p>
      <w:pPr>
        <w:pStyle w:val="14"/>
      </w:pPr>
    </w:p>
    <w:p>
      <w:pPr>
        <w:spacing w:line="360" w:lineRule="exact"/>
        <w:jc w:val="left"/>
        <w:rPr>
          <w:rFonts w:ascii="仿宋" w:hAnsi="仿宋" w:eastAsia="仿宋" w:cs="Segoe UI"/>
          <w:b/>
          <w:color w:val="333333"/>
          <w:spacing w:val="8"/>
          <w:kern w:val="0"/>
          <w:sz w:val="28"/>
          <w:szCs w:val="28"/>
        </w:rPr>
      </w:pPr>
      <w:r>
        <w:rPr>
          <w:rFonts w:hint="eastAsia"/>
          <w:b/>
          <w:bCs/>
        </w:rPr>
        <w:t>二、技术要求：</w:t>
      </w:r>
    </w:p>
    <w:p>
      <w:pPr>
        <w:spacing w:line="36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1.适用范围：用于综合评价老年人肌肉状况、协助判断老年人肌少症等。</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2.测试系统由SARC-CalF量表、小腿围测量、握力测试、六米步速测试仪、五次坐起测试仪以及测试APP组成。</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3.测试过程中具有实时显示各测试模块连接情况，保证数据上传的稳定性。</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4.在每个检测项检测完成时，实时显示每个项目的检测数据；检测完成后能即时生成诊断测试报告。</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5.检测软件具备用户管理功能，内容包括建档、测试、查询历史纪录、导出检测结果等功能。</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6.系统的评价标准基于《中国老年人肌少症诊疗专家共识（2021）》制定。</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7.测试APP可开放接口与平台/系统对接。</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8.检测要求：系统具备≥4个测试功能模块，至少包括：SARC-CalF量表（包含小腿围测量）、握力测试、六米步速测试和五次坐起测试。每个测试模块可独立运行，支持多人同时使用不同测试模块。</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9.具有肌少症测评系统软件著作权登记证书。</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10.SARC-CalF量表及小腿围测量</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10.1 测试传感器采用智能电子软尺。</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10.2 具有维度及直线测量功能，支持数据实时上传。</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10.3 量程：0-1500mm；分度值：1mm；误差：±0.2%。</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10.4具有电子化问卷管理功能，支持问卷实时提交。</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11.握力测试仪</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11.1 可根据手掌大小自由调节握距。</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11.2 测试仪内外握把均内置不锈钢片，加强牢固度，防止握把变形。</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11.3 量程：5kg－100kg ；分度值：0.1kg ；误差：±0.3%。</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12.六米步速测试垫</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12.1 测试传感器采用压力感应检测计时。</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12.2 固定6米距离，收纳再展开后无需重新测量距离。</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12.3 第二次测试可更改起点、终点位置，方便测试。</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12.4 量程：0～9999.99S；分度值：0.01s；误差：±0.1%。</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13.五次坐起测试仪</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13.1测试传感器采用霍尔传感器。</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13.2具有计数功能并在屏幕显示。</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13.3测试完成后，支持编辑测试结果。 </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13.4 量程：0次~999次；分度值：1次；误差： ±1次。</w:t>
      </w:r>
    </w:p>
    <w:p>
      <w:pPr>
        <w:spacing w:line="36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14.测试平板及软件</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14.1管理员账号可对报告发送地址、采集器配置地址、测试方式、测试者信息等进行设置。</w:t>
      </w:r>
    </w:p>
    <w:p>
      <w:pPr>
        <w:spacing w:line="36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14.2用户管理：具有测试者信息关键字搜索功能；支持查看历史测试记录及历史测试报告、编辑和删除用户信息等操作；支持测试报告上传服务端。</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14.3待测试清单：测试全程中支持查看未测试者人数；完成全部检测后自动移出待测试清单。</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14.4检测数据：具有检测数据存储功能，支持查看检测结果及检测过程中的状态。显示内容至少包括测试结果、平均值、最大值、检测过程中的状态等信息。</w:t>
      </w:r>
    </w:p>
    <w:p>
      <w:pPr>
        <w:spacing w:line="360" w:lineRule="exact"/>
        <w:jc w:val="both"/>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14.5报告：测试完成后，报告具有自动生成功能。个人报告内容至少包含测试结果、正常范围及评价，肌肉量详细评价，总体评价等；功能测试结果部分至少包含测试结果、正常范围值及评价、维度分析结果等；肌肉量详细报告至少包含四肢各节段肌肉量及评价等；总体评价内容至少包含低肌少症风险、肌少症可能、肌少症、严重肌少症等。体成分报告至少包含人体成分分析、肌肉脂肪分析、肥胖分析、肌肉均衡、测试结果、身体总评分、体型判断等。</w:t>
      </w:r>
    </w:p>
    <w:p>
      <w:pPr>
        <w:numPr>
          <w:ilvl w:val="0"/>
          <w:numId w:val="0"/>
        </w:numPr>
        <w:spacing w:line="360" w:lineRule="exact"/>
        <w:ind w:leftChars="0"/>
        <w:jc w:val="lef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14.6尺寸：≥10寸。运行内存：≥4G，内存容量:≥128G。</w:t>
      </w:r>
    </w:p>
    <w:p>
      <w:pPr>
        <w:numPr>
          <w:ilvl w:val="0"/>
          <w:numId w:val="0"/>
        </w:numPr>
        <w:spacing w:line="360" w:lineRule="exact"/>
        <w:ind w:leftChars="0"/>
        <w:jc w:val="left"/>
        <w:rPr>
          <w:b/>
          <w:bCs/>
        </w:rPr>
      </w:pPr>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7"/>
        <w:pageBreakBefore w:val="0"/>
        <w:numPr>
          <w:ilvl w:val="0"/>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rPr>
          <w:rFonts w:hint="eastAsia" w:ascii="宋体" w:hAnsi="宋体" w:eastAsia="宋体" w:cs="宋体"/>
          <w:color w:val="000000"/>
          <w:kern w:val="0"/>
          <w:lang w:val="en-US" w:eastAsia="zh-CN"/>
        </w:rPr>
      </w:pPr>
      <w:r>
        <w:rPr>
          <w:rFonts w:hint="eastAsia"/>
        </w:rPr>
        <w:t>4.1质保期：</w:t>
      </w:r>
      <w:r>
        <w:rPr>
          <w:rFonts w:hint="eastAsia" w:ascii="宋体" w:hAnsi="宋体" w:eastAsia="宋体" w:cs="宋体"/>
          <w:color w:val="000000"/>
          <w:kern w:val="0"/>
          <w:lang w:val="en-US" w:eastAsia="zh-CN"/>
        </w:rPr>
        <w:t>最终验收合格后提供至少3年原厂质保（含整机所有部件；如质保期内部件损坏，中标人免费更换全新原厂配件，并对更换部件延长一年质保）。</w:t>
      </w:r>
    </w:p>
    <w:p>
      <w:pPr>
        <w:spacing w:line="360" w:lineRule="exact"/>
        <w:jc w:val="both"/>
      </w:pPr>
      <w:bookmarkStart w:id="1" w:name="_GoBack"/>
      <w:bookmarkEnd w:id="1"/>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val="en-US" w:eastAsia="zh-CN"/>
        </w:rPr>
        <w:t>半年</w:t>
      </w:r>
      <w:r>
        <w:rPr>
          <w:rFonts w:hint="eastAsia" w:ascii="宋体" w:hAnsi="宋体" w:eastAsia="宋体" w:cs="宋体"/>
          <w:color w:val="000000"/>
          <w:kern w:val="0"/>
          <w:lang w:eastAsia="zh-CN"/>
        </w:rPr>
        <w:t>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62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688"/>
        <w:gridCol w:w="1169"/>
        <w:gridCol w:w="851"/>
        <w:gridCol w:w="595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89" w:type="pct"/>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324"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55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40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805"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528"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551"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401"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805"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eastAsia="宋体" w:cs="宋体"/>
              </w:rPr>
            </w:pPr>
            <w:r>
              <w:rPr>
                <w:rFonts w:hint="eastAsia" w:ascii="宋体" w:hAnsi="宋体" w:eastAsia="宋体" w:cs="宋体"/>
              </w:rPr>
              <w:t>注：报价最低的为基准价。</w:t>
            </w:r>
          </w:p>
        </w:tc>
        <w:tc>
          <w:tcPr>
            <w:tcW w:w="528" w:type="pct"/>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2</w:t>
            </w:r>
          </w:p>
        </w:tc>
        <w:tc>
          <w:tcPr>
            <w:tcW w:w="551"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54</w:t>
            </w:r>
            <w:r>
              <w:rPr>
                <w:rFonts w:hint="eastAsia" w:ascii="宋体" w:hAnsi="宋体" w:cs="Segoe UI"/>
                <w:color w:val="000000"/>
                <w:kern w:val="0"/>
              </w:rPr>
              <w:t>%</w:t>
            </w:r>
          </w:p>
        </w:tc>
        <w:tc>
          <w:tcPr>
            <w:tcW w:w="401"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54</w:t>
            </w:r>
          </w:p>
        </w:tc>
        <w:tc>
          <w:tcPr>
            <w:tcW w:w="2805" w:type="pct"/>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54</w:t>
            </w:r>
            <w:r>
              <w:rPr>
                <w:rFonts w:hint="eastAsia" w:ascii="宋体" w:hAnsi="宋体" w:cs="宋体"/>
              </w:rPr>
              <w:t>分。</w:t>
            </w:r>
            <w:r>
              <w:rPr>
                <w:rFonts w:hint="eastAsia" w:ascii="宋体" w:hAnsi="宋体" w:cs="宋体"/>
                <w:lang w:val="en-US" w:eastAsia="zh-CN"/>
              </w:rPr>
              <w:t>技术参数</w:t>
            </w:r>
            <w:r>
              <w:rPr>
                <w:rFonts w:hint="eastAsia" w:ascii="宋体" w:hAnsi="宋体" w:cs="宋体"/>
              </w:rPr>
              <w:t>条款负偏离一项扣</w:t>
            </w:r>
            <w:r>
              <w:rPr>
                <w:rFonts w:hint="eastAsia" w:ascii="宋体" w:hAnsi="宋体" w:cs="宋体"/>
                <w:lang w:val="en-US" w:eastAsia="zh-CN"/>
              </w:rPr>
              <w:t>1.8</w:t>
            </w:r>
            <w:r>
              <w:rPr>
                <w:rFonts w:hint="eastAsia" w:ascii="宋体" w:hAnsi="宋体" w:cs="宋体"/>
              </w:rPr>
              <w:t>分，扣完为止。（</w:t>
            </w:r>
            <w:r>
              <w:rPr>
                <w:rFonts w:hint="eastAsia" w:ascii="宋体" w:hAnsi="宋体" w:cs="宋体"/>
                <w:lang w:val="en-US" w:eastAsia="zh-CN"/>
              </w:rPr>
              <w:t>技术参数</w:t>
            </w:r>
            <w:r>
              <w:rPr>
                <w:rFonts w:hint="eastAsia" w:ascii="宋体" w:hAnsi="宋体" w:cs="宋体"/>
              </w:rPr>
              <w:t>条款共</w:t>
            </w:r>
            <w:r>
              <w:rPr>
                <w:rFonts w:hint="eastAsia" w:ascii="宋体" w:hAnsi="宋体" w:cs="宋体"/>
                <w:lang w:val="en-US" w:eastAsia="zh-CN"/>
              </w:rPr>
              <w:t>30</w:t>
            </w:r>
            <w:r>
              <w:rPr>
                <w:rFonts w:hint="eastAsia" w:ascii="宋体" w:hAnsi="宋体" w:cs="宋体"/>
              </w:rPr>
              <w:t>项）。</w:t>
            </w:r>
          </w:p>
          <w:p>
            <w:pPr>
              <w:widowControl/>
              <w:spacing w:line="360" w:lineRule="exact"/>
              <w:rPr>
                <w:rFonts w:ascii="宋体" w:hAnsi="宋体" w:cs="宋体"/>
              </w:rPr>
            </w:pPr>
            <w:r>
              <w:rPr>
                <w:rFonts w:hint="eastAsia" w:ascii="宋体" w:hAnsi="宋体" w:cs="宋体"/>
              </w:rPr>
              <w:t>注：如技术指标在投标文件中未对应出现或在投标文件中存在自相矛盾之处不得分。</w:t>
            </w:r>
          </w:p>
        </w:tc>
        <w:tc>
          <w:tcPr>
            <w:tcW w:w="528" w:type="pct"/>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3</w:t>
            </w:r>
          </w:p>
        </w:tc>
        <w:tc>
          <w:tcPr>
            <w:tcW w:w="55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401" w:type="pct"/>
            <w:noWrap w:val="0"/>
            <w:vAlign w:val="center"/>
          </w:tcPr>
          <w:p>
            <w:pPr>
              <w:widowControl/>
              <w:spacing w:line="360" w:lineRule="exact"/>
              <w:jc w:val="center"/>
              <w:rPr>
                <w:rFonts w:hint="default" w:ascii="宋体" w:hAnsi="宋体" w:cs="宋体"/>
                <w:lang w:val="en-US"/>
              </w:rPr>
            </w:pPr>
            <w:r>
              <w:rPr>
                <w:rFonts w:hint="eastAsia" w:ascii="宋体" w:hAnsi="宋体" w:eastAsia="宋体" w:cs="宋体"/>
                <w:lang w:val="en-US" w:eastAsia="zh-CN"/>
              </w:rPr>
              <w:t>8</w:t>
            </w:r>
          </w:p>
        </w:tc>
        <w:tc>
          <w:tcPr>
            <w:tcW w:w="2805" w:type="pct"/>
            <w:noWrap w:val="0"/>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自2021年1月1日（含）至今，以合同签订时间为准，</w:t>
            </w:r>
            <w:r>
              <w:rPr>
                <w:rFonts w:hint="eastAsia" w:ascii="宋体" w:hAnsi="宋体" w:eastAsia="宋体" w:cs="宋体"/>
              </w:rPr>
              <w:t>投标人</w:t>
            </w:r>
            <w:r>
              <w:rPr>
                <w:rFonts w:hint="eastAsia" w:ascii="宋体" w:hAnsi="宋体" w:eastAsia="宋体" w:cs="宋体"/>
                <w:lang w:val="en-US" w:eastAsia="zh-CN"/>
              </w:rPr>
              <w:t xml:space="preserve">每具有一个同型号产品业绩的得2分，最高得8分。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注：提供项目合同复印件或中标（成交）通知书复印件并加盖投标人公章（鲜章）。</w:t>
            </w:r>
          </w:p>
        </w:tc>
        <w:tc>
          <w:tcPr>
            <w:tcW w:w="528" w:type="pct"/>
            <w:noWrap w:val="0"/>
            <w:vAlign w:val="center"/>
          </w:tcPr>
          <w:p>
            <w:pPr>
              <w:widowControl/>
              <w:spacing w:line="360" w:lineRule="exact"/>
              <w:jc w:val="center"/>
              <w:rPr>
                <w:rFonts w:ascii="宋体" w:hAnsi="宋体" w:cs="Segoe UI"/>
                <w:color w:val="000000"/>
                <w:kern w:val="0"/>
              </w:rPr>
            </w:pPr>
            <w:r>
              <w:rPr>
                <w:rFonts w:hint="eastAsia" w:ascii="宋体" w:hAnsi="宋体" w:eastAsia="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389" w:type="pct"/>
            <w:vMerge w:val="continue"/>
            <w:noWrap w:val="0"/>
            <w:vAlign w:val="center"/>
          </w:tcPr>
          <w:p>
            <w:pPr>
              <w:spacing w:line="360" w:lineRule="exact"/>
              <w:jc w:val="center"/>
              <w:rPr>
                <w:rFonts w:hint="eastAsia" w:cs="宋体"/>
                <w:color w:val="000000"/>
                <w:kern w:val="0"/>
              </w:rPr>
            </w:pPr>
          </w:p>
        </w:tc>
        <w:tc>
          <w:tcPr>
            <w:tcW w:w="324"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4</w:t>
            </w:r>
          </w:p>
        </w:tc>
        <w:tc>
          <w:tcPr>
            <w:tcW w:w="55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401" w:type="pct"/>
            <w:noWrap w:val="0"/>
            <w:vAlign w:val="center"/>
          </w:tcPr>
          <w:p>
            <w:pPr>
              <w:widowControl/>
              <w:spacing w:line="360" w:lineRule="exact"/>
              <w:jc w:val="center"/>
              <w:rPr>
                <w:rFonts w:ascii="宋体" w:hAnsi="宋体" w:cs="Segoe UI"/>
                <w:color w:val="333333"/>
                <w:kern w:val="0"/>
              </w:rPr>
            </w:pPr>
            <w:r>
              <w:rPr>
                <w:rFonts w:hint="eastAsia" w:ascii="宋体" w:hAnsi="宋体" w:eastAsia="宋体" w:cs="宋体"/>
                <w:lang w:val="en-US" w:eastAsia="zh-CN"/>
              </w:rPr>
              <w:t>8</w:t>
            </w:r>
          </w:p>
        </w:tc>
        <w:tc>
          <w:tcPr>
            <w:tcW w:w="2805" w:type="pct"/>
            <w:noWrap w:val="0"/>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528" w:type="pct"/>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widowControl/>
        <w:jc w:val="left"/>
        <w:rPr>
          <w:rFonts w:ascii="宋体" w:hAnsi="宋体" w:eastAsia="宋体"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4"/>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hint="eastAsia" w:ascii="仿宋_GB2312" w:hAnsi="Segoe UI" w:eastAsia="仿宋_GB2312" w:cs="Segoe UI"/>
          <w:b/>
          <w:bCs/>
          <w:color w:val="333333"/>
          <w:kern w:val="0"/>
          <w:sz w:val="24"/>
          <w:szCs w:val="24"/>
        </w:rPr>
      </w:pPr>
    </w:p>
    <w:p>
      <w:pPr>
        <w:widowControl/>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DC85630"/>
    <w:rsid w:val="5F381B5D"/>
    <w:rsid w:val="60021495"/>
    <w:rsid w:val="622F0396"/>
    <w:rsid w:val="63D266D5"/>
    <w:rsid w:val="65B66BE6"/>
    <w:rsid w:val="6CA02C6A"/>
    <w:rsid w:val="700B2FC9"/>
    <w:rsid w:val="734A410E"/>
    <w:rsid w:val="735C33F9"/>
    <w:rsid w:val="74E17C0A"/>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4">
    <w:name w:val="toc 7"/>
    <w:basedOn w:val="1"/>
    <w:next w:val="1"/>
    <w:qFormat/>
    <w:uiPriority w:val="0"/>
    <w:pPr>
      <w:ind w:left="1200"/>
    </w:pPr>
    <w:rPr>
      <w:rFonts w:ascii="Calibri"/>
    </w:rPr>
  </w:style>
  <w:style w:type="paragraph" w:styleId="5">
    <w:name w:val="Body Text"/>
    <w:basedOn w:val="1"/>
    <w:next w:val="1"/>
    <w:link w:val="18"/>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98"/>
    <w:pPr>
      <w:spacing w:before="240" w:after="60"/>
      <w:jc w:val="center"/>
      <w:outlineLvl w:val="0"/>
    </w:pPr>
    <w:rPr>
      <w:rFonts w:ascii="等线 Light" w:hAnsi="等线 Light"/>
      <w:b/>
      <w:bCs/>
      <w:sz w:val="32"/>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10"/>
    <w:next w:val="3"/>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5"/>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3</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2024-07-31T00:40:00Z</cp:lastPrinted>
  <dcterms:modified xsi:type="dcterms:W3CDTF">2024-08-21T03:14:18Z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