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2" w:name="_GoBack"/>
      <w:bookmarkEnd w:id="2"/>
      <w:r>
        <w:rPr>
          <w:rFonts w:hint="eastAsia" w:ascii="方正小标宋简体" w:hAnsi="方正小标宋简体" w:eastAsia="方正小标宋简体" w:cs="方正小标宋简体"/>
          <w:b w:val="0"/>
          <w:bCs w:val="0"/>
          <w:color w:val="000000"/>
          <w:sz w:val="44"/>
          <w:szCs w:val="44"/>
          <w:shd w:val="clear" w:color="auto" w:fill="FFFFFF"/>
          <w:lang w:eastAsia="zh-CN"/>
        </w:rPr>
        <w:t>四川省妇幼保健院</w:t>
      </w:r>
      <w:r>
        <w:rPr>
          <w:rFonts w:ascii="方正小标宋简体" w:hAnsi="方正小标宋简体" w:eastAsia="方正小标宋简体" w:cs="方正小标宋简体"/>
          <w:b w:val="0"/>
          <w:bCs w:val="0"/>
          <w:color w:val="000000"/>
          <w:sz w:val="44"/>
          <w:szCs w:val="44"/>
          <w:shd w:val="clear" w:color="auto" w:fill="FFFFFF"/>
        </w:rPr>
        <w:t>关于遴选“</w:t>
      </w:r>
      <w:r>
        <w:rPr>
          <w:rFonts w:hint="eastAsia" w:ascii="方正小标宋简体" w:hAnsi="方正小标宋简体" w:eastAsia="方正小标宋简体" w:cs="方正小标宋简体"/>
          <w:b w:val="0"/>
          <w:bCs w:val="0"/>
          <w:color w:val="000000"/>
          <w:sz w:val="44"/>
          <w:szCs w:val="44"/>
          <w:shd w:val="clear" w:color="auto" w:fill="FFFFFF"/>
          <w:lang w:eastAsia="zh-CN"/>
        </w:rPr>
        <w:t>双医联合门诊</w:t>
      </w:r>
      <w:r>
        <w:rPr>
          <w:rFonts w:hint="eastAsia" w:ascii="方正小标宋简体" w:hAnsi="方正小标宋简体" w:eastAsia="方正小标宋简体" w:cs="方正小标宋简体"/>
          <w:b w:val="0"/>
          <w:bCs w:val="0"/>
          <w:color w:val="000000"/>
          <w:sz w:val="44"/>
          <w:szCs w:val="44"/>
          <w:shd w:val="clear" w:color="auto" w:fill="FFFFFF"/>
        </w:rPr>
        <w:t>项目</w:t>
      </w:r>
      <w:r>
        <w:rPr>
          <w:rFonts w:ascii="方正小标宋简体" w:hAnsi="方正小标宋简体" w:eastAsia="方正小标宋简体" w:cs="方正小标宋简体"/>
          <w:b w:val="0"/>
          <w:bCs w:val="0"/>
          <w:color w:val="000000"/>
          <w:sz w:val="44"/>
          <w:szCs w:val="44"/>
          <w:shd w:val="clear" w:color="auto" w:fill="FFFFFF"/>
        </w:rPr>
        <w:t>”合作机构的公告</w:t>
      </w:r>
    </w:p>
    <w:p>
      <w:pPr>
        <w:jc w:val="center"/>
        <w:rPr>
          <w:rFonts w:ascii="仿宋" w:hAnsi="仿宋" w:eastAsia="仿宋" w:cs="Times New Roman"/>
          <w:b/>
          <w:sz w:val="28"/>
          <w:szCs w:val="28"/>
        </w:rPr>
      </w:pPr>
    </w:p>
    <w:p>
      <w:pPr>
        <w:ind w:firstLine="560" w:firstLineChars="200"/>
        <w:rPr>
          <w:rFonts w:ascii="仿宋" w:hAnsi="仿宋" w:eastAsia="仿宋"/>
          <w:sz w:val="28"/>
          <w:szCs w:val="28"/>
          <w:highlight w:val="none"/>
        </w:rPr>
      </w:pPr>
      <w:r>
        <w:rPr>
          <w:rFonts w:hint="eastAsia" w:ascii="仿宋" w:hAnsi="仿宋" w:eastAsia="仿宋"/>
          <w:sz w:val="28"/>
          <w:szCs w:val="28"/>
        </w:rPr>
        <w:t>我院将召开“双医联合门诊项目</w:t>
      </w:r>
      <w:r>
        <w:rPr>
          <w:rFonts w:hint="eastAsia" w:ascii="仿宋" w:hAnsi="仿宋" w:eastAsia="仿宋"/>
          <w:sz w:val="28"/>
          <w:szCs w:val="28"/>
          <w:lang w:val="en-US" w:eastAsia="zh-CN"/>
        </w:rPr>
        <w:t xml:space="preserve"> </w:t>
      </w:r>
      <w:r>
        <w:rPr>
          <w:rFonts w:hint="eastAsia" w:ascii="仿宋" w:hAnsi="仿宋" w:eastAsia="仿宋"/>
          <w:sz w:val="28"/>
          <w:szCs w:val="28"/>
        </w:rPr>
        <w:t>合作机构”遴选会议，会议由运营发展部组织。</w:t>
      </w:r>
      <w:r>
        <w:rPr>
          <w:rFonts w:hint="eastAsia" w:ascii="仿宋" w:hAnsi="仿宋" w:eastAsia="仿宋"/>
          <w:color w:val="000000"/>
          <w:sz w:val="28"/>
          <w:szCs w:val="28"/>
        </w:rPr>
        <w:t>届时，请</w:t>
      </w:r>
      <w:r>
        <w:rPr>
          <w:rFonts w:hint="eastAsia" w:ascii="仿宋" w:hAnsi="仿宋" w:eastAsia="仿宋"/>
          <w:color w:val="000000"/>
          <w:sz w:val="28"/>
          <w:szCs w:val="28"/>
          <w:highlight w:val="none"/>
        </w:rPr>
        <w:t>参选机构准时参加，务必提供公司资质（复印件加盖鲜章）及公司实力资料、参选方案、参会人员的授权书等资料，具体事项如下：</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1.会议时间：202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上午9:30</w:t>
      </w:r>
      <w:r>
        <w:rPr>
          <w:rFonts w:hint="eastAsia" w:ascii="仿宋" w:hAnsi="仿宋" w:eastAsia="仿宋"/>
          <w:sz w:val="28"/>
          <w:szCs w:val="28"/>
          <w:highlight w:val="none"/>
        </w:rPr>
        <w:t>。</w:t>
      </w:r>
    </w:p>
    <w:p>
      <w:pPr>
        <w:ind w:firstLine="557" w:firstLineChars="199"/>
        <w:rPr>
          <w:rFonts w:ascii="仿宋" w:hAnsi="仿宋" w:eastAsia="仿宋"/>
          <w:sz w:val="28"/>
          <w:szCs w:val="28"/>
          <w:highlight w:val="none"/>
        </w:rPr>
      </w:pPr>
      <w:r>
        <w:rPr>
          <w:rFonts w:hint="eastAsia" w:ascii="仿宋" w:hAnsi="仿宋" w:eastAsia="仿宋"/>
          <w:sz w:val="28"/>
          <w:szCs w:val="28"/>
          <w:highlight w:val="none"/>
        </w:rPr>
        <w:t>2.会议地点：四川省妇幼保健院-综合楼（2号楼）</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楼</w:t>
      </w:r>
      <w:r>
        <w:rPr>
          <w:rFonts w:hint="eastAsia" w:ascii="仿宋" w:hAnsi="仿宋" w:eastAsia="仿宋"/>
          <w:sz w:val="28"/>
          <w:szCs w:val="28"/>
          <w:highlight w:val="none"/>
          <w:lang w:eastAsia="zh-CN"/>
        </w:rPr>
        <w:t>小会议室。</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3.遴选会议说明：</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3.1本次会议评审小组成员由运营发展部、</w:t>
      </w:r>
      <w:r>
        <w:rPr>
          <w:rFonts w:hint="eastAsia" w:ascii="仿宋" w:hAnsi="仿宋" w:eastAsia="仿宋"/>
          <w:sz w:val="28"/>
          <w:szCs w:val="28"/>
          <w:highlight w:val="none"/>
          <w:lang w:val="en-US" w:eastAsia="zh-CN"/>
        </w:rPr>
        <w:t>医务部</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信息化部等部门的</w:t>
      </w:r>
      <w:r>
        <w:rPr>
          <w:rFonts w:hint="eastAsia" w:ascii="仿宋" w:hAnsi="仿宋" w:eastAsia="仿宋"/>
          <w:sz w:val="28"/>
          <w:szCs w:val="28"/>
          <w:highlight w:val="none"/>
        </w:rPr>
        <w:t>相关人员组成。根</w:t>
      </w:r>
      <w:r>
        <w:rPr>
          <w:rFonts w:hint="eastAsia" w:ascii="仿宋" w:hAnsi="仿宋" w:eastAsia="仿宋"/>
          <w:color w:val="000000"/>
          <w:sz w:val="28"/>
          <w:szCs w:val="28"/>
          <w:highlight w:val="none"/>
        </w:rPr>
        <w:t>据各参选机构制作的参选方案(一式</w:t>
      </w:r>
      <w:r>
        <w:rPr>
          <w:rFonts w:hint="eastAsia" w:ascii="仿宋" w:hAnsi="仿宋" w:eastAsia="仿宋"/>
          <w:color w:val="000000"/>
          <w:sz w:val="28"/>
          <w:szCs w:val="28"/>
          <w:highlight w:val="none"/>
          <w:lang w:val="en-US" w:eastAsia="zh-CN"/>
        </w:rPr>
        <w:t>三</w:t>
      </w:r>
      <w:r>
        <w:rPr>
          <w:rFonts w:hint="eastAsia" w:ascii="仿宋" w:hAnsi="仿宋" w:eastAsia="仿宋"/>
          <w:color w:val="000000"/>
          <w:sz w:val="28"/>
          <w:szCs w:val="28"/>
          <w:highlight w:val="none"/>
        </w:rPr>
        <w:t>份)以及现场沟通情况</w:t>
      </w:r>
      <w:r>
        <w:rPr>
          <w:rFonts w:hint="eastAsia" w:ascii="仿宋" w:hAnsi="仿宋" w:eastAsia="仿宋"/>
          <w:sz w:val="28"/>
          <w:szCs w:val="28"/>
          <w:highlight w:val="none"/>
        </w:rPr>
        <w:t>予以遴选（磋商）</w:t>
      </w:r>
      <w:r>
        <w:rPr>
          <w:rFonts w:hint="eastAsia" w:ascii="仿宋" w:hAnsi="仿宋" w:eastAsia="仿宋"/>
          <w:color w:val="000000"/>
          <w:sz w:val="28"/>
          <w:szCs w:val="28"/>
          <w:highlight w:val="none"/>
        </w:rPr>
        <w:t>，综合评判后优选条件最适宜、对项目综合保障能力最强的</w:t>
      </w:r>
      <w:r>
        <w:rPr>
          <w:rFonts w:hint="eastAsia" w:ascii="仿宋" w:hAnsi="仿宋" w:eastAsia="仿宋"/>
          <w:color w:val="000000"/>
          <w:sz w:val="28"/>
          <w:szCs w:val="28"/>
          <w:highlight w:val="none"/>
          <w:lang w:val="en-US" w:eastAsia="zh-CN"/>
        </w:rPr>
        <w:t>参选机构作为本项目的</w:t>
      </w:r>
      <w:r>
        <w:rPr>
          <w:rFonts w:hint="eastAsia" w:ascii="仿宋" w:hAnsi="仿宋" w:eastAsia="仿宋"/>
          <w:color w:val="000000"/>
          <w:sz w:val="28"/>
          <w:szCs w:val="28"/>
          <w:highlight w:val="none"/>
        </w:rPr>
        <w:t>合作</w:t>
      </w:r>
      <w:r>
        <w:rPr>
          <w:rFonts w:hint="eastAsia" w:ascii="仿宋" w:hAnsi="仿宋" w:eastAsia="仿宋"/>
          <w:color w:val="000000"/>
          <w:sz w:val="28"/>
          <w:szCs w:val="28"/>
          <w:highlight w:val="none"/>
          <w:lang w:val="en-US" w:eastAsia="zh-CN"/>
        </w:rPr>
        <w:t>机构</w:t>
      </w:r>
      <w:r>
        <w:rPr>
          <w:rFonts w:hint="eastAsia" w:ascii="仿宋" w:hAnsi="仿宋" w:eastAsia="仿宋"/>
          <w:color w:val="000000"/>
          <w:sz w:val="28"/>
          <w:szCs w:val="28"/>
          <w:highlight w:val="none"/>
        </w:rPr>
        <w:t>。</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3.2请仔细阅读参加会议需要的相关内容，如有贻误，后果自负。</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3.3如果本次遴选项目，存在不符合市场调查、资格主体异常、过程违规等情况，我院有权终止本次遴选活动，无义务向各机构解释具体原因。</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4.参选机构资质要求（见附件1）。</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技术服务要求（见附件1）。</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.参选方案文件书装订顺序（见附件</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7.其他要求：</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7.</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参选机构应承诺，对</w:t>
      </w:r>
      <w:r>
        <w:rPr>
          <w:rFonts w:hint="eastAsia" w:ascii="仿宋" w:hAnsi="仿宋" w:eastAsia="仿宋"/>
          <w:sz w:val="28"/>
          <w:szCs w:val="28"/>
          <w:highlight w:val="none"/>
          <w:lang w:eastAsia="zh-CN"/>
        </w:rPr>
        <w:t>医院</w:t>
      </w:r>
      <w:r>
        <w:rPr>
          <w:rFonts w:hint="eastAsia" w:ascii="仿宋" w:hAnsi="仿宋" w:eastAsia="仿宋"/>
          <w:sz w:val="28"/>
          <w:szCs w:val="28"/>
          <w:highlight w:val="none"/>
        </w:rPr>
        <w:t>认为必要的实地考察或其他方式的询问进行相应的协助。</w:t>
      </w:r>
    </w:p>
    <w:p>
      <w:pPr>
        <w:ind w:firstLine="560" w:firstLineChars="200"/>
        <w:rPr>
          <w:rFonts w:ascii="仿宋" w:hAnsi="仿宋" w:eastAsia="仿宋"/>
          <w:b w:val="0"/>
          <w:bCs w:val="0"/>
          <w:sz w:val="28"/>
          <w:szCs w:val="28"/>
          <w:highlight w:val="none"/>
        </w:rPr>
      </w:pPr>
      <w:r>
        <w:rPr>
          <w:rFonts w:hint="eastAsia" w:ascii="仿宋" w:hAnsi="仿宋" w:eastAsia="仿宋"/>
          <w:sz w:val="28"/>
          <w:szCs w:val="28"/>
          <w:highlight w:val="none"/>
        </w:rPr>
        <w:t>7.</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参选机构应在参选方案中按遴选公告的规定和要求附上所有的资格证明文件，要求提供复印件的必须加盖单位印章，并在必要时提供原件备查。</w:t>
      </w:r>
      <w:r>
        <w:rPr>
          <w:rFonts w:hint="eastAsia" w:ascii="仿宋" w:hAnsi="仿宋" w:eastAsia="仿宋"/>
          <w:b w:val="0"/>
          <w:bCs w:val="0"/>
          <w:sz w:val="28"/>
          <w:szCs w:val="28"/>
          <w:highlight w:val="none"/>
        </w:rPr>
        <w:t>若提供的资格证明文件不全或不实，将导致其合作资格被取消。</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8.报名时间及方式：</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8.1报名时间：202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日下午17:00前。</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8.2报名方式：拟参选机构在报名期限内携带遴选单位的资质要求复印件一份</w:t>
      </w:r>
      <w:r>
        <w:rPr>
          <w:rFonts w:hint="eastAsia" w:ascii="仿宋" w:hAnsi="仿宋" w:eastAsia="仿宋"/>
          <w:sz w:val="28"/>
          <w:szCs w:val="28"/>
          <w:highlight w:val="none"/>
          <w:lang w:eastAsia="zh-CN"/>
        </w:rPr>
        <w:t>（格式见附件</w:t>
      </w:r>
      <w:r>
        <w:rPr>
          <w:rFonts w:hint="eastAsia" w:ascii="仿宋" w:hAnsi="仿宋" w:eastAsia="仿宋"/>
          <w:sz w:val="28"/>
          <w:szCs w:val="28"/>
          <w:highlight w:val="none"/>
          <w:lang w:val="en-US" w:eastAsia="zh-CN"/>
        </w:rPr>
        <w:t xml:space="preserve">1 </w:t>
      </w:r>
      <w:r>
        <w:rPr>
          <w:rFonts w:hint="eastAsia" w:ascii="仿宋" w:hAnsi="仿宋" w:eastAsia="仿宋"/>
          <w:b w:val="0"/>
          <w:bCs w:val="0"/>
          <w:sz w:val="28"/>
          <w:szCs w:val="28"/>
          <w:highlight w:val="none"/>
          <w:lang w:val="en-US" w:eastAsia="zh-CN"/>
        </w:rPr>
        <w:t>二、资质要求</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eastAsia="zh-CN"/>
        </w:rPr>
        <w:t>逐页</w:t>
      </w:r>
      <w:r>
        <w:rPr>
          <w:rFonts w:hint="eastAsia" w:ascii="仿宋" w:hAnsi="仿宋" w:eastAsia="仿宋"/>
          <w:b w:val="0"/>
          <w:bCs w:val="0"/>
          <w:sz w:val="28"/>
          <w:szCs w:val="28"/>
          <w:highlight w:val="none"/>
        </w:rPr>
        <w:t>盖公章</w:t>
      </w:r>
      <w:r>
        <w:rPr>
          <w:rFonts w:hint="eastAsia" w:ascii="仿宋" w:hAnsi="仿宋" w:eastAsia="仿宋"/>
          <w:sz w:val="28"/>
          <w:szCs w:val="28"/>
          <w:highlight w:val="none"/>
        </w:rPr>
        <w:t>送至四川省妇幼保健院运营发展部（详细地址：成都市武侯区沙堰西二街290号2号楼311室）。逾期将不接受遴选会议报名。</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9.会前要求：</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参选机构需于202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日下午16：00前到我院医院网站“四川省妇幼保健院官网”(www.fybj.net)上下载公告。</w:t>
      </w:r>
    </w:p>
    <w:p>
      <w:pPr>
        <w:numPr>
          <w:ilvl w:val="0"/>
          <w:numId w:val="1"/>
        </w:numPr>
        <w:ind w:firstLine="560" w:firstLineChars="200"/>
        <w:rPr>
          <w:rFonts w:ascii="仿宋" w:hAnsi="仿宋" w:eastAsia="仿宋"/>
          <w:sz w:val="28"/>
          <w:szCs w:val="28"/>
          <w:highlight w:val="none"/>
        </w:rPr>
      </w:pPr>
      <w:r>
        <w:rPr>
          <w:rFonts w:hint="eastAsia" w:ascii="仿宋" w:hAnsi="仿宋" w:eastAsia="仿宋"/>
          <w:sz w:val="28"/>
          <w:szCs w:val="28"/>
          <w:highlight w:val="none"/>
        </w:rPr>
        <w:t>会议安排：</w:t>
      </w:r>
    </w:p>
    <w:p>
      <w:pPr>
        <w:ind w:firstLine="560" w:firstLineChars="200"/>
        <w:rPr>
          <w:rFonts w:ascii="仿宋" w:hAnsi="仿宋" w:eastAsia="仿宋"/>
          <w:sz w:val="28"/>
          <w:szCs w:val="28"/>
        </w:rPr>
      </w:pPr>
      <w:r>
        <w:rPr>
          <w:rFonts w:hint="eastAsia" w:ascii="仿宋" w:hAnsi="仿宋" w:eastAsia="仿宋"/>
          <w:sz w:val="28"/>
          <w:szCs w:val="28"/>
          <w:highlight w:val="none"/>
        </w:rPr>
        <w:t>10.1 202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 xml:space="preserve"> 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前，参选机构必须携带机构上述</w:t>
      </w:r>
      <w:r>
        <w:rPr>
          <w:rFonts w:hint="eastAsia" w:ascii="仿宋" w:hAnsi="仿宋" w:eastAsia="仿宋"/>
          <w:b w:val="0"/>
          <w:bCs w:val="0"/>
          <w:sz w:val="28"/>
          <w:szCs w:val="28"/>
          <w:highlight w:val="none"/>
          <w:lang w:val="en-US" w:eastAsia="zh-CN"/>
        </w:rPr>
        <w:t>资质要求</w:t>
      </w:r>
      <w:r>
        <w:rPr>
          <w:rFonts w:hint="eastAsia" w:ascii="仿宋" w:hAnsi="仿宋" w:eastAsia="仿宋"/>
          <w:sz w:val="28"/>
          <w:szCs w:val="28"/>
          <w:highlight w:val="none"/>
        </w:rPr>
        <w:t>复印件（一份）</w:t>
      </w:r>
      <w:r>
        <w:rPr>
          <w:rFonts w:hint="eastAsia" w:ascii="仿宋" w:hAnsi="仿宋" w:eastAsia="仿宋"/>
          <w:sz w:val="28"/>
          <w:szCs w:val="28"/>
          <w:highlight w:val="none"/>
          <w:lang w:eastAsia="zh-CN"/>
        </w:rPr>
        <w:t>、</w:t>
      </w:r>
      <w:r>
        <w:rPr>
          <w:rFonts w:hint="eastAsia" w:ascii="仿宋" w:hAnsi="仿宋" w:eastAsia="仿宋"/>
          <w:sz w:val="28"/>
          <w:szCs w:val="28"/>
          <w:highlight w:val="none"/>
        </w:rPr>
        <w:t>《参选方案》（一式</w:t>
      </w:r>
      <w:r>
        <w:rPr>
          <w:rFonts w:hint="eastAsia" w:ascii="仿宋" w:hAnsi="仿宋" w:eastAsia="仿宋"/>
          <w:sz w:val="28"/>
          <w:szCs w:val="28"/>
          <w:highlight w:val="none"/>
          <w:lang w:val="en-US" w:eastAsia="zh-CN"/>
        </w:rPr>
        <w:t>三</w:t>
      </w:r>
      <w:r>
        <w:rPr>
          <w:rFonts w:hint="eastAsia" w:ascii="仿宋" w:hAnsi="仿宋" w:eastAsia="仿宋"/>
          <w:sz w:val="28"/>
          <w:szCs w:val="28"/>
          <w:highlight w:val="none"/>
        </w:rPr>
        <w:t>份，正本1份</w:t>
      </w:r>
      <w:r>
        <w:rPr>
          <w:rFonts w:hint="eastAsia" w:ascii="仿宋" w:hAnsi="仿宋" w:eastAsia="仿宋"/>
          <w:sz w:val="28"/>
          <w:szCs w:val="28"/>
          <w:highlight w:val="none"/>
          <w:lang w:eastAsia="zh-CN"/>
        </w:rPr>
        <w:t>，</w:t>
      </w:r>
      <w:r>
        <w:rPr>
          <w:rFonts w:hint="eastAsia" w:ascii="仿宋" w:hAnsi="仿宋" w:eastAsia="仿宋"/>
          <w:sz w:val="28"/>
          <w:szCs w:val="28"/>
          <w:highlight w:val="none"/>
        </w:rPr>
        <w:t>副本</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份，并分别在右上角标明“正本”</w:t>
      </w:r>
      <w:r>
        <w:rPr>
          <w:rFonts w:hint="eastAsia" w:ascii="仿宋" w:hAnsi="仿宋" w:eastAsia="仿宋"/>
          <w:sz w:val="28"/>
          <w:szCs w:val="28"/>
        </w:rPr>
        <w:t xml:space="preserve"> 和“副本”字样</w:t>
      </w:r>
      <w:r>
        <w:rPr>
          <w:rFonts w:hint="eastAsia" w:ascii="仿宋" w:hAnsi="仿宋" w:eastAsia="仿宋"/>
          <w:sz w:val="28"/>
          <w:szCs w:val="28"/>
          <w:highlight w:val="none"/>
        </w:rPr>
        <w:t>）密封盖章</w:t>
      </w:r>
      <w:r>
        <w:rPr>
          <w:rFonts w:hint="eastAsia" w:ascii="仿宋" w:hAnsi="仿宋" w:eastAsia="仿宋"/>
          <w:sz w:val="28"/>
          <w:szCs w:val="28"/>
        </w:rPr>
        <w:t>报送至会议地点。以上资料必须在公告截止时间前送达公告要求地点。逾期送达或密封不符合遴选公告规定的恕不接收。</w:t>
      </w:r>
    </w:p>
    <w:p>
      <w:pPr>
        <w:ind w:firstLine="560" w:firstLineChars="200"/>
        <w:rPr>
          <w:rFonts w:ascii="仿宋" w:hAnsi="仿宋" w:eastAsia="仿宋"/>
          <w:sz w:val="28"/>
          <w:szCs w:val="28"/>
        </w:rPr>
      </w:pPr>
      <w:r>
        <w:rPr>
          <w:rFonts w:hint="eastAsia" w:ascii="仿宋" w:hAnsi="仿宋" w:eastAsia="仿宋"/>
          <w:sz w:val="28"/>
          <w:szCs w:val="28"/>
        </w:rPr>
        <w:t>10.2运营发展部主持会议。主持人宣布遴选步骤，强调工作纪律、介绍遴选工作等。</w:t>
      </w:r>
    </w:p>
    <w:p>
      <w:pPr>
        <w:ind w:firstLine="560" w:firstLineChars="200"/>
        <w:rPr>
          <w:rFonts w:ascii="仿宋" w:hAnsi="仿宋" w:eastAsia="仿宋"/>
          <w:sz w:val="28"/>
          <w:szCs w:val="28"/>
        </w:rPr>
      </w:pPr>
      <w:r>
        <w:rPr>
          <w:rFonts w:hint="eastAsia" w:ascii="仿宋" w:hAnsi="仿宋" w:eastAsia="仿宋"/>
          <w:sz w:val="28"/>
          <w:szCs w:val="28"/>
        </w:rPr>
        <w:t>10.3运营发展部负责组织评审专家对参选机构的资格进行审查，通报资格审查情况，宣布参加遴选的机构名单。</w:t>
      </w:r>
    </w:p>
    <w:p>
      <w:pPr>
        <w:ind w:firstLine="560" w:firstLineChars="200"/>
        <w:rPr>
          <w:rFonts w:ascii="仿宋" w:hAnsi="仿宋" w:eastAsia="仿宋"/>
          <w:sz w:val="28"/>
          <w:szCs w:val="28"/>
        </w:rPr>
      </w:pPr>
      <w:r>
        <w:rPr>
          <w:rFonts w:hint="eastAsia" w:ascii="仿宋" w:hAnsi="仿宋" w:eastAsia="仿宋"/>
          <w:sz w:val="28"/>
          <w:szCs w:val="28"/>
        </w:rPr>
        <w:t>10.4参选机构现场介绍,时间</w:t>
      </w:r>
      <w:r>
        <w:rPr>
          <w:rFonts w:hint="eastAsia" w:ascii="仿宋" w:hAnsi="仿宋" w:eastAsia="仿宋"/>
          <w:sz w:val="28"/>
          <w:szCs w:val="28"/>
          <w:lang w:val="en-US" w:eastAsia="zh-CN"/>
        </w:rPr>
        <w:t>5</w:t>
      </w:r>
      <w:r>
        <w:rPr>
          <w:rFonts w:hint="eastAsia" w:ascii="仿宋" w:hAnsi="仿宋" w:eastAsia="仿宋"/>
          <w:sz w:val="28"/>
          <w:szCs w:val="28"/>
        </w:rPr>
        <w:t>分钟以内。</w:t>
      </w:r>
    </w:p>
    <w:p>
      <w:pPr>
        <w:ind w:firstLine="560" w:firstLineChars="200"/>
        <w:rPr>
          <w:rFonts w:ascii="仿宋" w:hAnsi="仿宋" w:eastAsia="仿宋"/>
          <w:sz w:val="28"/>
          <w:szCs w:val="28"/>
        </w:rPr>
      </w:pPr>
      <w:r>
        <w:rPr>
          <w:rFonts w:hint="eastAsia" w:ascii="仿宋" w:hAnsi="仿宋" w:eastAsia="仿宋"/>
          <w:sz w:val="28"/>
          <w:szCs w:val="28"/>
        </w:rPr>
        <w:t>10.5评审小组成员根据各参选机构方案及现场沟通情况进行综合评比，现场统分，打分后形成遴选意见。</w:t>
      </w:r>
    </w:p>
    <w:p>
      <w:pPr>
        <w:ind w:firstLine="560" w:firstLineChars="200"/>
        <w:rPr>
          <w:rFonts w:ascii="仿宋" w:hAnsi="仿宋" w:eastAsia="仿宋"/>
          <w:sz w:val="28"/>
          <w:szCs w:val="28"/>
        </w:rPr>
      </w:pPr>
      <w:r>
        <w:rPr>
          <w:rFonts w:hint="eastAsia" w:ascii="仿宋" w:hAnsi="仿宋" w:eastAsia="仿宋"/>
          <w:sz w:val="28"/>
          <w:szCs w:val="28"/>
        </w:rPr>
        <w:t>10.6根据评审小组成员综合评审情况，填写相应表格，评审小组成员签字确认。</w:t>
      </w:r>
    </w:p>
    <w:p>
      <w:pPr>
        <w:ind w:firstLine="560" w:firstLineChars="200"/>
        <w:rPr>
          <w:rFonts w:ascii="仿宋" w:hAnsi="仿宋" w:eastAsia="仿宋"/>
          <w:sz w:val="28"/>
          <w:szCs w:val="28"/>
          <w:highlight w:val="none"/>
        </w:rPr>
      </w:pPr>
      <w:r>
        <w:rPr>
          <w:rFonts w:hint="eastAsia" w:ascii="仿宋" w:hAnsi="仿宋" w:eastAsia="仿宋"/>
          <w:sz w:val="28"/>
          <w:szCs w:val="28"/>
        </w:rPr>
        <w:t>10.</w:t>
      </w:r>
      <w:r>
        <w:rPr>
          <w:rFonts w:hint="eastAsia" w:ascii="仿宋" w:hAnsi="仿宋" w:eastAsia="仿宋"/>
          <w:sz w:val="28"/>
          <w:szCs w:val="28"/>
          <w:highlight w:val="none"/>
        </w:rPr>
        <w:t>7汇总填写《评审报告》，逐级上报。</w:t>
      </w:r>
    </w:p>
    <w:p>
      <w:pPr>
        <w:ind w:firstLine="560" w:firstLineChars="200"/>
        <w:rPr>
          <w:sz w:val="28"/>
          <w:szCs w:val="28"/>
          <w:highlight w:val="none"/>
        </w:rPr>
      </w:pPr>
      <w:r>
        <w:rPr>
          <w:rFonts w:hint="eastAsia" w:ascii="仿宋" w:hAnsi="仿宋" w:eastAsia="仿宋"/>
          <w:sz w:val="28"/>
          <w:szCs w:val="28"/>
          <w:highlight w:val="none"/>
        </w:rPr>
        <w:t xml:space="preserve">10.8 </w:t>
      </w:r>
      <w:r>
        <w:rPr>
          <w:rFonts w:hint="eastAsia" w:ascii="仿宋" w:hAnsi="仿宋" w:eastAsia="仿宋"/>
          <w:sz w:val="28"/>
          <w:szCs w:val="28"/>
          <w:highlight w:val="none"/>
          <w:lang w:eastAsia="zh-CN"/>
        </w:rPr>
        <w:t>七个工作</w:t>
      </w:r>
      <w:r>
        <w:rPr>
          <w:rFonts w:hint="eastAsia" w:ascii="仿宋" w:hAnsi="仿宋" w:eastAsia="仿宋"/>
          <w:sz w:val="28"/>
          <w:szCs w:val="28"/>
          <w:highlight w:val="none"/>
        </w:rPr>
        <w:t>日内，将遴选结果电话通知或在医院网站公示告知参选机构。</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11.其它说明：</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11.1参选方案等资料的编制、装订：根据要求及自身实际用A4纸编制，严格按照参选方案文件书装订顺序（见附件</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）的要求进行装订。提供的所有资料</w:t>
      </w:r>
      <w:r>
        <w:rPr>
          <w:rFonts w:hint="eastAsia" w:ascii="仿宋" w:hAnsi="仿宋" w:eastAsia="仿宋"/>
          <w:sz w:val="28"/>
          <w:szCs w:val="28"/>
          <w:highlight w:val="none"/>
          <w:lang w:eastAsia="zh-CN"/>
        </w:rPr>
        <w:t>必</w:t>
      </w:r>
      <w:r>
        <w:rPr>
          <w:rFonts w:hint="eastAsia" w:ascii="仿宋" w:hAnsi="仿宋" w:eastAsia="仿宋"/>
          <w:sz w:val="28"/>
          <w:szCs w:val="28"/>
          <w:highlight w:val="none"/>
        </w:rPr>
        <w:t>须加盖鲜章。</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11.2解释权归运营发展部。联系人：</w:t>
      </w:r>
      <w:r>
        <w:rPr>
          <w:rFonts w:hint="eastAsia" w:ascii="仿宋" w:hAnsi="仿宋" w:eastAsia="仿宋"/>
          <w:sz w:val="28"/>
          <w:szCs w:val="28"/>
          <w:highlight w:val="none"/>
          <w:lang w:val="en-US" w:eastAsia="zh-CN"/>
        </w:rPr>
        <w:t>何</w:t>
      </w:r>
      <w:r>
        <w:rPr>
          <w:rFonts w:hint="eastAsia" w:ascii="仿宋" w:hAnsi="仿宋" w:eastAsia="仿宋"/>
          <w:sz w:val="28"/>
          <w:szCs w:val="28"/>
          <w:highlight w:val="none"/>
        </w:rPr>
        <w:t>老师  电话：028-65978</w:t>
      </w:r>
      <w:r>
        <w:rPr>
          <w:rFonts w:hint="eastAsia" w:ascii="仿宋" w:hAnsi="仿宋" w:eastAsia="仿宋"/>
          <w:sz w:val="28"/>
          <w:szCs w:val="28"/>
          <w:highlight w:val="none"/>
          <w:lang w:val="en-US" w:eastAsia="zh-CN"/>
        </w:rPr>
        <w:t>149</w:t>
      </w:r>
      <w:r>
        <w:rPr>
          <w:rFonts w:hint="eastAsia" w:ascii="仿宋" w:hAnsi="仿宋" w:eastAsia="仿宋"/>
          <w:sz w:val="28"/>
          <w:szCs w:val="28"/>
          <w:highlight w:val="none"/>
        </w:rPr>
        <w:t>。</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11.3各参选机构认为遴选文件、遴选过程、</w:t>
      </w:r>
      <w:r>
        <w:rPr>
          <w:rFonts w:hint="eastAsia" w:ascii="仿宋" w:hAnsi="仿宋" w:eastAsia="仿宋"/>
          <w:sz w:val="28"/>
          <w:szCs w:val="28"/>
          <w:highlight w:val="none"/>
          <w:lang w:val="en-US" w:eastAsia="zh-CN"/>
        </w:rPr>
        <w:t>遴选</w:t>
      </w:r>
      <w:r>
        <w:rPr>
          <w:rFonts w:hint="eastAsia" w:ascii="仿宋" w:hAnsi="仿宋" w:eastAsia="仿宋"/>
          <w:sz w:val="28"/>
          <w:szCs w:val="28"/>
          <w:highlight w:val="none"/>
        </w:rPr>
        <w:t>结果使自己的权益受到损害的，可以在知道或者应知其权益受到损害之日起</w:t>
      </w:r>
      <w:r>
        <w:rPr>
          <w:rFonts w:hint="eastAsia" w:ascii="仿宋" w:hAnsi="仿宋" w:eastAsia="仿宋"/>
          <w:sz w:val="28"/>
          <w:szCs w:val="28"/>
          <w:highlight w:val="none"/>
          <w:lang w:eastAsia="zh-CN"/>
        </w:rPr>
        <w:t>七</w:t>
      </w:r>
      <w:r>
        <w:rPr>
          <w:rFonts w:hint="eastAsia" w:ascii="仿宋" w:hAnsi="仿宋" w:eastAsia="仿宋"/>
          <w:sz w:val="28"/>
          <w:szCs w:val="28"/>
          <w:highlight w:val="none"/>
        </w:rPr>
        <w:t>个工作日内，以书面形式向运营发展部提出质疑。运营发展部联系人:</w:t>
      </w:r>
      <w:r>
        <w:rPr>
          <w:rFonts w:hint="eastAsia" w:ascii="仿宋" w:hAnsi="仿宋" w:eastAsia="仿宋"/>
          <w:sz w:val="28"/>
          <w:szCs w:val="28"/>
          <w:highlight w:val="none"/>
          <w:lang w:val="en-US" w:eastAsia="zh-CN"/>
        </w:rPr>
        <w:t>何老</w:t>
      </w:r>
      <w:r>
        <w:rPr>
          <w:rFonts w:hint="eastAsia" w:ascii="仿宋" w:hAnsi="仿宋" w:eastAsia="仿宋"/>
          <w:sz w:val="28"/>
          <w:szCs w:val="28"/>
          <w:highlight w:val="none"/>
        </w:rPr>
        <w:t>师028-6597</w:t>
      </w:r>
      <w:r>
        <w:rPr>
          <w:rFonts w:hint="eastAsia" w:ascii="仿宋" w:hAnsi="仿宋" w:eastAsia="仿宋"/>
          <w:sz w:val="28"/>
          <w:szCs w:val="28"/>
          <w:highlight w:val="none"/>
          <w:lang w:val="en-US" w:eastAsia="zh-CN"/>
        </w:rPr>
        <w:t>149</w:t>
      </w:r>
      <w:r>
        <w:rPr>
          <w:rFonts w:hint="eastAsia" w:ascii="仿宋" w:hAnsi="仿宋" w:eastAsia="仿宋"/>
          <w:sz w:val="28"/>
          <w:szCs w:val="28"/>
          <w:highlight w:val="none"/>
        </w:rPr>
        <w:t>。</w:t>
      </w:r>
    </w:p>
    <w:p>
      <w:pPr>
        <w:ind w:firstLine="560" w:firstLineChars="200"/>
        <w:rPr>
          <w:rFonts w:hint="eastAsia" w:ascii="仿宋" w:hAnsi="仿宋" w:eastAsia="仿宋" w:cstheme="minorBidi"/>
          <w:sz w:val="28"/>
          <w:szCs w:val="28"/>
          <w:highlight w:val="none"/>
          <w:lang w:eastAsia="zh-CN"/>
        </w:rPr>
      </w:pPr>
      <w:r>
        <w:rPr>
          <w:rFonts w:hint="eastAsia" w:ascii="仿宋" w:hAnsi="仿宋" w:eastAsia="仿宋" w:cstheme="minorBidi"/>
          <w:sz w:val="28"/>
          <w:szCs w:val="28"/>
          <w:highlight w:val="none"/>
          <w:lang w:eastAsia="zh-CN"/>
        </w:rPr>
        <w:t>1</w:t>
      </w:r>
      <w:r>
        <w:rPr>
          <w:rFonts w:hint="eastAsia" w:ascii="仿宋" w:hAnsi="仿宋" w:eastAsia="仿宋" w:cstheme="minorBidi"/>
          <w:sz w:val="28"/>
          <w:szCs w:val="28"/>
          <w:highlight w:val="none"/>
          <w:lang w:val="en-US" w:eastAsia="zh-CN"/>
        </w:rPr>
        <w:t>1.4</w:t>
      </w:r>
      <w:r>
        <w:rPr>
          <w:rFonts w:hint="eastAsia" w:ascii="仿宋" w:hAnsi="仿宋" w:eastAsia="仿宋" w:cstheme="minorBidi"/>
          <w:sz w:val="28"/>
          <w:szCs w:val="28"/>
          <w:highlight w:val="none"/>
        </w:rPr>
        <w:t>请每位参会人员需携带身份证</w:t>
      </w:r>
      <w:r>
        <w:rPr>
          <w:rFonts w:hint="eastAsia" w:ascii="仿宋" w:hAnsi="仿宋" w:eastAsia="仿宋" w:cstheme="minorBidi"/>
          <w:sz w:val="28"/>
          <w:szCs w:val="28"/>
          <w:highlight w:val="none"/>
          <w:lang w:eastAsia="zh-CN"/>
        </w:rPr>
        <w:t>。</w:t>
      </w:r>
    </w:p>
    <w:p>
      <w:pPr>
        <w:ind w:firstLine="560" w:firstLineChars="200"/>
        <w:rPr>
          <w:rFonts w:ascii="仿宋" w:hAnsi="仿宋" w:eastAsia="仿宋"/>
          <w:sz w:val="28"/>
          <w:szCs w:val="28"/>
          <w:highlight w:val="none"/>
        </w:rPr>
      </w:pPr>
    </w:p>
    <w:p>
      <w:pPr>
        <w:outlineLvl w:val="0"/>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附件1：参选机构资质要求</w:t>
      </w:r>
    </w:p>
    <w:p>
      <w:pPr>
        <w:outlineLvl w:val="0"/>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附件2：合作方案基本格式</w:t>
      </w:r>
    </w:p>
    <w:p>
      <w:pPr>
        <w:outlineLvl w:val="0"/>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eastAsia="zh-CN"/>
        </w:rPr>
        <w:t>: 参选方案文件书装订顺序</w:t>
      </w:r>
    </w:p>
    <w:p>
      <w:pPr>
        <w:outlineLvl w:val="0"/>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CN"/>
        </w:rPr>
        <w:t>：偏离表</w:t>
      </w:r>
    </w:p>
    <w:p>
      <w:pPr>
        <w:outlineLvl w:val="0"/>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lang w:eastAsia="zh-CN"/>
        </w:rPr>
        <w:t>：法定代表人身份授权书</w:t>
      </w:r>
    </w:p>
    <w:p>
      <w:pPr>
        <w:outlineLvl w:val="0"/>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eastAsia="zh-CN"/>
        </w:rPr>
        <w:t>：反商业贿赂承诺书</w:t>
      </w:r>
    </w:p>
    <w:p>
      <w:pPr>
        <w:outlineLvl w:val="0"/>
        <w:rPr>
          <w:rFonts w:hint="default" w:ascii="仿宋" w:hAnsi="仿宋" w:eastAsia="仿宋"/>
          <w:sz w:val="28"/>
          <w:szCs w:val="28"/>
          <w:highlight w:val="none"/>
          <w:lang w:val="en-US" w:eastAsia="zh-CN"/>
        </w:rPr>
      </w:pP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7：</w:t>
      </w:r>
      <w:bookmarkStart w:id="0" w:name="OLE_LINK1"/>
      <w:r>
        <w:rPr>
          <w:rFonts w:hint="eastAsia" w:ascii="仿宋" w:hAnsi="仿宋" w:eastAsia="仿宋"/>
          <w:sz w:val="28"/>
          <w:szCs w:val="28"/>
          <w:highlight w:val="none"/>
          <w:lang w:val="en-US" w:eastAsia="zh-CN"/>
        </w:rPr>
        <w:t>参选机构遵守遴选纪律承诺书</w:t>
      </w:r>
      <w:bookmarkEnd w:id="0"/>
    </w:p>
    <w:p>
      <w:pPr>
        <w:outlineLvl w:val="0"/>
        <w:rPr>
          <w:rFonts w:hint="eastAsia" w:ascii="仿宋" w:hAnsi="仿宋" w:eastAsia="仿宋"/>
          <w:sz w:val="28"/>
          <w:szCs w:val="28"/>
          <w:highlight w:val="none"/>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lang w:eastAsia="zh-CN"/>
        </w:rPr>
        <w:t>：评审办法（综合评分明细表）</w:t>
      </w:r>
    </w:p>
    <w:p>
      <w:pPr>
        <w:outlineLvl w:val="0"/>
        <w:rPr>
          <w:rFonts w:ascii="仿宋" w:hAnsi="仿宋" w:eastAsia="仿宋"/>
          <w:sz w:val="28"/>
          <w:szCs w:val="28"/>
          <w:highlight w:val="none"/>
        </w:rPr>
      </w:pPr>
      <w:r>
        <w:rPr>
          <w:rFonts w:hint="eastAsia" w:ascii="仿宋" w:hAnsi="仿宋" w:eastAsia="仿宋"/>
          <w:sz w:val="28"/>
          <w:szCs w:val="28"/>
          <w:highlight w:val="none"/>
        </w:rPr>
        <w:t>附件</w:t>
      </w:r>
      <w:r>
        <w:rPr>
          <w:rFonts w:ascii="仿宋" w:hAnsi="仿宋" w:eastAsia="仿宋"/>
          <w:sz w:val="28"/>
          <w:szCs w:val="28"/>
          <w:highlight w:val="none"/>
        </w:rPr>
        <w:t>1：</w:t>
      </w:r>
    </w:p>
    <w:p>
      <w:pPr>
        <w:adjustRightInd w:val="0"/>
        <w:snapToGrid w:val="0"/>
        <w:spacing w:line="480" w:lineRule="auto"/>
        <w:ind w:firstLine="640"/>
        <w:jc w:val="center"/>
        <w:outlineLvl w:val="0"/>
        <w:rPr>
          <w:rFonts w:hint="eastAsia" w:ascii="仿宋" w:hAnsi="仿宋" w:eastAsia="仿宋"/>
          <w:b/>
          <w:sz w:val="32"/>
          <w:szCs w:val="32"/>
          <w:highlight w:val="none"/>
        </w:rPr>
      </w:pPr>
      <w:r>
        <w:rPr>
          <w:rFonts w:hint="eastAsia" w:ascii="仿宋" w:hAnsi="仿宋" w:eastAsia="仿宋"/>
          <w:b/>
          <w:sz w:val="32"/>
          <w:szCs w:val="32"/>
          <w:highlight w:val="none"/>
        </w:rPr>
        <w:t>参选机构要求</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一、项目简介</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拟在我院天府院区探索开展双医联合门诊项目，遴选第三方搭建远程门诊平台并提供基层医疗机构使用平台的项目运营服务。 我院向基层医疗机构提供远程门诊服务并收取相应的技术指导费。</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2.法定代表人身份授权书（原件，格式见附件5）,法定代表人与经办人身份证复印件。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3.软件著作权登记证书。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4.明确软件的部署环境是</w:t>
      </w:r>
      <w:r>
        <w:rPr>
          <w:rFonts w:hint="eastAsia" w:ascii="仿宋" w:hAnsi="仿宋" w:eastAsia="仿宋"/>
          <w:sz w:val="28"/>
          <w:szCs w:val="28"/>
          <w:highlight w:val="none"/>
        </w:rPr>
        <w:t>在医院内数据中心还是公司云服务器上</w:t>
      </w:r>
      <w:r>
        <w:rPr>
          <w:rFonts w:hint="eastAsia" w:ascii="仿宋" w:hAnsi="仿宋" w:eastAsia="仿宋"/>
          <w:sz w:val="28"/>
          <w:szCs w:val="28"/>
          <w:highlight w:val="none"/>
          <w:lang w:val="en-US" w:eastAsia="zh-CN"/>
        </w:rPr>
        <w:t>且软件平台可供四川省妇幼保健院正常使用且不会侵犯任何第三方权益，须提供如出现相关问题将赔偿我院损失并承担相应的法律和经济责任的承诺函。</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5.软件平台能够保证网络、信息及数据安全，须提供如出现相关问题将赔偿我院损失并承担相应的法律和经济责任的承诺函。</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具有良好的商业信誉和健全的财务会计制度{注：良好的商业信誉需要提供承诺函，健全的财务会计制度①可提供2022年或2023年度参会单位内部的财务报表复印件②参会单位注册时间截至投标文件递交截止日不足一年的，也可提供在工商备案的公司章程（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7.具有履行合同所必需的人员、设备设施和专业技术能力。</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8.近三年内，参选机构无重大行贿犯罪记录，无重大负面新闻。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9.近三年内，参选机构未在经营活动中因违法行为受到刑事处罚、处以罚款或者没收财产5万元以上、责令停产停业、吊销许可证或者执照等行政处罚。</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10.反商业贿赂承诺书（附件6）。</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11.参选机构遵守遴选纪律承诺书（附件7）。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12.本次遴选活动不接受联合体投标。</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注：①以上内容均提供承诺函原件或证明材料复印件并加盖鲜章；</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w:t>
      </w:r>
    </w:p>
    <w:p>
      <w:pPr>
        <w:numPr>
          <w:ilvl w:val="0"/>
          <w:numId w:val="2"/>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系统功能模块要求</w:t>
      </w:r>
    </w:p>
    <w:tbl>
      <w:tblPr>
        <w:tblStyle w:val="19"/>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6" w:type="dxa"/>
            <w:vMerge w:val="restart"/>
            <w:tcBorders>
              <w:top w:val="single" w:color="auto" w:sz="2" w:space="0"/>
              <w:left w:val="single" w:color="auto" w:sz="2" w:space="0"/>
              <w:right w:val="single" w:color="000000" w:sz="2" w:space="0"/>
            </w:tcBorders>
            <w:noWrap w:val="0"/>
            <w:vAlign w:val="top"/>
          </w:tcPr>
          <w:p>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客户端功能</w:t>
            </w:r>
          </w:p>
        </w:tc>
        <w:tc>
          <w:tcPr>
            <w:tcW w:w="8388" w:type="dxa"/>
            <w:tcBorders>
              <w:top w:val="single" w:color="auto" w:sz="2" w:space="0"/>
              <w:left w:val="single" w:color="auto" w:sz="2" w:space="0"/>
              <w:bottom w:val="single" w:color="000000" w:sz="2" w:space="0"/>
              <w:right w:val="single" w:color="000000" w:sz="2" w:space="0"/>
            </w:tcBorders>
            <w:noWrap w:val="0"/>
            <w:vAlign w:val="top"/>
          </w:tcPr>
          <w:p>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可</w:t>
            </w:r>
            <w:r>
              <w:rPr>
                <w:rFonts w:hint="eastAsia" w:ascii="仿宋" w:hAnsi="仿宋" w:eastAsia="仿宋" w:cs="仿宋"/>
                <w:sz w:val="24"/>
                <w:szCs w:val="24"/>
                <w:highlight w:val="none"/>
              </w:rPr>
              <w:t>实现线上预约，在线选择</w:t>
            </w:r>
            <w:r>
              <w:rPr>
                <w:rFonts w:hint="eastAsia" w:ascii="仿宋" w:hAnsi="仿宋" w:eastAsia="仿宋" w:cs="仿宋"/>
                <w:sz w:val="24"/>
                <w:szCs w:val="24"/>
                <w:highlight w:val="none"/>
                <w:lang w:val="en-US" w:eastAsia="zh-CN"/>
              </w:rPr>
              <w:t>就医科室和医生</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6" w:type="dxa"/>
            <w:vMerge w:val="continue"/>
            <w:tcBorders>
              <w:left w:val="single" w:color="auto" w:sz="2" w:space="0"/>
              <w:right w:val="single" w:color="000000" w:sz="2" w:space="0"/>
            </w:tcBorders>
            <w:noWrap w:val="0"/>
            <w:vAlign w:val="top"/>
          </w:tcPr>
          <w:p>
            <w:pPr>
              <w:rPr>
                <w:rFonts w:hint="eastAsia" w:ascii="仿宋" w:hAnsi="仿宋" w:eastAsia="仿宋" w:cs="仿宋"/>
                <w:sz w:val="24"/>
                <w:szCs w:val="24"/>
                <w:highlight w:val="none"/>
                <w:lang w:val="en-US" w:eastAsia="zh-CN"/>
              </w:rPr>
            </w:pPr>
          </w:p>
        </w:tc>
        <w:tc>
          <w:tcPr>
            <w:tcW w:w="8388" w:type="dxa"/>
            <w:tcBorders>
              <w:top w:val="single" w:color="auto" w:sz="2" w:space="0"/>
              <w:left w:val="single" w:color="auto" w:sz="2" w:space="0"/>
              <w:bottom w:val="single" w:color="000000" w:sz="2" w:space="0"/>
              <w:right w:val="single" w:color="000000" w:sz="2" w:space="0"/>
            </w:tcBorders>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2.可实现实时视频通话，并可保存通话影像和声音记录。</w:t>
            </w:r>
            <w:r>
              <w:rPr>
                <w:rFonts w:hint="eastAsia" w:ascii="仿宋_GB2312" w:hAnsi="仿宋_GB2312"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16" w:type="dxa"/>
            <w:vMerge w:val="continue"/>
            <w:tcBorders>
              <w:left w:val="single" w:color="auto" w:sz="2" w:space="0"/>
              <w:right w:val="single" w:color="000000" w:sz="2" w:space="0"/>
            </w:tcBorders>
            <w:noWrap w:val="0"/>
            <w:vAlign w:val="top"/>
          </w:tcPr>
          <w:p>
            <w:pPr>
              <w:rPr>
                <w:rFonts w:hint="eastAsia" w:ascii="仿宋" w:hAnsi="仿宋" w:eastAsia="仿宋" w:cs="仿宋"/>
                <w:sz w:val="24"/>
                <w:szCs w:val="24"/>
                <w:highlight w:val="none"/>
                <w:lang w:val="en-US" w:eastAsia="zh-CN"/>
              </w:rPr>
            </w:pPr>
          </w:p>
        </w:tc>
        <w:tc>
          <w:tcPr>
            <w:tcW w:w="8388" w:type="dxa"/>
            <w:tcBorders>
              <w:top w:val="single" w:color="auto" w:sz="2" w:space="0"/>
              <w:left w:val="single" w:color="auto" w:sz="2" w:space="0"/>
              <w:bottom w:val="single" w:color="000000" w:sz="2" w:space="0"/>
              <w:right w:val="single" w:color="000000" w:sz="2" w:space="0"/>
            </w:tcBorders>
            <w:noWrap w:val="0"/>
            <w:vAlign w:val="top"/>
          </w:tcPr>
          <w:p>
            <w:pP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允许基层医疗机构填写病人就诊情况，供我院看诊医生查看。</w:t>
            </w:r>
            <w:r>
              <w:rPr>
                <w:rFonts w:hint="eastAsia" w:ascii="仿宋_GB2312" w:hAnsi="仿宋_GB2312"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6" w:type="dxa"/>
            <w:vMerge w:val="continue"/>
            <w:tcBorders>
              <w:left w:val="single" w:color="auto" w:sz="2" w:space="0"/>
              <w:bottom w:val="single" w:color="000000" w:sz="2" w:space="0"/>
              <w:right w:val="single" w:color="000000" w:sz="2" w:space="0"/>
            </w:tcBorders>
            <w:noWrap w:val="0"/>
            <w:vAlign w:val="top"/>
          </w:tcPr>
          <w:p>
            <w:pPr>
              <w:rPr>
                <w:rFonts w:hint="default" w:ascii="仿宋" w:hAnsi="仿宋" w:eastAsia="仿宋" w:cs="仿宋"/>
                <w:sz w:val="24"/>
                <w:szCs w:val="24"/>
                <w:highlight w:val="none"/>
                <w:lang w:val="en-US" w:eastAsia="zh-CN"/>
              </w:rPr>
            </w:pPr>
          </w:p>
        </w:tc>
        <w:tc>
          <w:tcPr>
            <w:tcW w:w="8388" w:type="dxa"/>
            <w:tcBorders>
              <w:top w:val="single" w:color="000000" w:sz="2" w:space="0"/>
              <w:left w:val="single" w:color="auto" w:sz="2" w:space="0"/>
              <w:bottom w:val="single" w:color="000000" w:sz="2" w:space="0"/>
              <w:right w:val="single" w:color="000000" w:sz="2" w:space="0"/>
            </w:tcBorders>
            <w:noWrap w:val="0"/>
            <w:vAlign w:val="top"/>
          </w:tcPr>
          <w:p>
            <w:pPr>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4.提供下单时注意事项提醒及短信模版维护（包含：预约成功、撤单、退费、随访通知）功能。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6" w:type="dxa"/>
            <w:vMerge w:val="restart"/>
            <w:tcBorders>
              <w:top w:val="single" w:color="000000" w:sz="2" w:space="0"/>
              <w:left w:val="single" w:color="auto" w:sz="2" w:space="0"/>
              <w:right w:val="single" w:color="000000" w:sz="2" w:space="0"/>
            </w:tcBorders>
            <w:noWrap w:val="0"/>
            <w:vAlign w:val="top"/>
          </w:tcPr>
          <w:p>
            <w:pPr>
              <w:rPr>
                <w:rFonts w:hint="eastAsia" w:ascii="仿宋" w:hAnsi="仿宋" w:eastAsia="仿宋" w:cs="仿宋"/>
                <w:sz w:val="24"/>
                <w:szCs w:val="24"/>
                <w:highlight w:val="none"/>
                <w:lang w:val="en-US" w:eastAsia="zh-CN"/>
              </w:rPr>
            </w:pPr>
          </w:p>
          <w:p>
            <w:pPr>
              <w:rPr>
                <w:rFonts w:hint="default"/>
                <w:highlight w:val="none"/>
                <w:lang w:val="en-US"/>
              </w:rPr>
            </w:pPr>
            <w:r>
              <w:rPr>
                <w:rFonts w:hint="eastAsia" w:ascii="仿宋" w:hAnsi="仿宋" w:eastAsia="仿宋" w:cs="仿宋"/>
                <w:sz w:val="24"/>
                <w:szCs w:val="24"/>
                <w:highlight w:val="none"/>
                <w:lang w:val="en-US" w:eastAsia="zh-CN"/>
              </w:rPr>
              <w:t>管理功能</w:t>
            </w:r>
          </w:p>
          <w:p>
            <w:pPr>
              <w:rPr>
                <w:highlight w:val="none"/>
              </w:rPr>
            </w:pPr>
          </w:p>
          <w:p>
            <w:pPr>
              <w:rPr>
                <w:highlight w:val="none"/>
              </w:rPr>
            </w:pPr>
          </w:p>
          <w:p>
            <w:pPr>
              <w:rPr>
                <w:rFonts w:hint="default" w:ascii="仿宋" w:hAnsi="仿宋" w:eastAsia="仿宋" w:cs="仿宋"/>
                <w:sz w:val="24"/>
                <w:szCs w:val="24"/>
                <w:highlight w:val="none"/>
                <w:lang w:val="en-US" w:eastAsia="zh-CN"/>
              </w:rPr>
            </w:pPr>
          </w:p>
        </w:tc>
        <w:tc>
          <w:tcPr>
            <w:tcW w:w="8388" w:type="dxa"/>
            <w:tcBorders>
              <w:top w:val="single" w:color="000000" w:sz="2" w:space="0"/>
              <w:left w:val="single" w:color="auto" w:sz="2" w:space="0"/>
              <w:bottom w:val="single" w:color="000000" w:sz="2" w:space="0"/>
              <w:right w:val="single" w:color="000000" w:sz="2" w:space="0"/>
            </w:tcBorders>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5.可有效控制每日就诊人数。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vMerge w:val="continue"/>
            <w:tcBorders>
              <w:left w:val="single" w:color="auto" w:sz="2" w:space="0"/>
              <w:right w:val="single" w:color="000000" w:sz="2" w:space="0"/>
            </w:tcBorders>
            <w:noWrap w:val="0"/>
            <w:vAlign w:val="top"/>
          </w:tcPr>
          <w:p>
            <w:pPr>
              <w:rPr>
                <w:rFonts w:hint="eastAsia" w:ascii="仿宋" w:hAnsi="仿宋" w:eastAsia="仿宋" w:cs="仿宋"/>
                <w:sz w:val="24"/>
                <w:szCs w:val="24"/>
                <w:highlight w:val="none"/>
                <w:lang w:val="en-US" w:eastAsia="zh-CN"/>
              </w:rPr>
            </w:pPr>
          </w:p>
        </w:tc>
        <w:tc>
          <w:tcPr>
            <w:tcW w:w="8388" w:type="dxa"/>
            <w:tcBorders>
              <w:top w:val="single" w:color="000000" w:sz="2" w:space="0"/>
              <w:left w:val="single" w:color="auto" w:sz="2" w:space="0"/>
              <w:bottom w:val="single" w:color="000000" w:sz="2" w:space="0"/>
              <w:right w:val="single" w:color="000000" w:sz="2" w:space="0"/>
            </w:tcBorders>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6.可分时段开放号源。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vMerge w:val="continue"/>
            <w:tcBorders>
              <w:left w:val="single" w:color="auto" w:sz="2" w:space="0"/>
              <w:right w:val="single" w:color="000000" w:sz="2" w:space="0"/>
            </w:tcBorders>
            <w:noWrap w:val="0"/>
            <w:vAlign w:val="top"/>
          </w:tcPr>
          <w:p>
            <w:pPr>
              <w:rPr>
                <w:rFonts w:hint="eastAsia" w:ascii="仿宋" w:hAnsi="仿宋" w:eastAsia="仿宋" w:cs="仿宋"/>
                <w:sz w:val="24"/>
                <w:szCs w:val="24"/>
                <w:highlight w:val="none"/>
                <w:lang w:val="en-US" w:eastAsia="zh-CN"/>
              </w:rPr>
            </w:pPr>
          </w:p>
        </w:tc>
        <w:tc>
          <w:tcPr>
            <w:tcW w:w="8388" w:type="dxa"/>
            <w:tcBorders>
              <w:top w:val="single" w:color="000000" w:sz="2" w:space="0"/>
              <w:left w:val="single" w:color="auto" w:sz="2" w:space="0"/>
              <w:bottom w:val="single" w:color="000000" w:sz="2" w:space="0"/>
              <w:right w:val="single" w:color="000000" w:sz="2" w:space="0"/>
            </w:tcBorders>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7.支持按就诊类型自动生成运营报告。支持定制化业务和数据运营改造需求。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vMerge w:val="continue"/>
            <w:tcBorders>
              <w:left w:val="single" w:color="auto" w:sz="2" w:space="0"/>
              <w:right w:val="single" w:color="000000" w:sz="2" w:space="0"/>
            </w:tcBorders>
          </w:tcPr>
          <w:p>
            <w:pPr>
              <w:rPr>
                <w:rFonts w:hint="eastAsia" w:ascii="仿宋" w:hAnsi="仿宋" w:eastAsia="仿宋" w:cs="仿宋"/>
                <w:sz w:val="24"/>
                <w:szCs w:val="24"/>
                <w:highlight w:val="none"/>
                <w:lang w:val="en-US" w:eastAsia="zh-CN"/>
              </w:rPr>
            </w:pPr>
          </w:p>
        </w:tc>
        <w:tc>
          <w:tcPr>
            <w:tcW w:w="8388" w:type="dxa"/>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8.提供告警模板，编制告警人与模板的关联管理。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vMerge w:val="continue"/>
            <w:tcBorders>
              <w:left w:val="single" w:color="auto" w:sz="2" w:space="0"/>
              <w:right w:val="single" w:color="000000" w:sz="2" w:space="0"/>
            </w:tcBorders>
          </w:tcPr>
          <w:p>
            <w:pPr>
              <w:rPr>
                <w:rFonts w:hint="eastAsia" w:ascii="仿宋" w:hAnsi="仿宋" w:eastAsia="仿宋" w:cs="仿宋"/>
                <w:sz w:val="24"/>
                <w:szCs w:val="24"/>
                <w:highlight w:val="none"/>
                <w:lang w:val="en-US" w:eastAsia="zh-CN"/>
              </w:rPr>
            </w:pPr>
          </w:p>
        </w:tc>
        <w:tc>
          <w:tcPr>
            <w:tcW w:w="8388" w:type="dxa"/>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9.应用支撑系统提供系统日志管理功能，可实现对数据使用痕迹的记录和追溯，方便对日志的查询、备份等常用功能。</w:t>
            </w:r>
            <w:r>
              <w:rPr>
                <w:rFonts w:hint="eastAsia" w:ascii="仿宋_GB2312" w:hAnsi="仿宋_GB2312"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vMerge w:val="continue"/>
            <w:tcBorders>
              <w:left w:val="single" w:color="auto" w:sz="2" w:space="0"/>
              <w:right w:val="single" w:color="000000" w:sz="2" w:space="0"/>
            </w:tcBorders>
          </w:tcPr>
          <w:p>
            <w:pPr>
              <w:rPr>
                <w:rFonts w:hint="eastAsia" w:ascii="仿宋" w:hAnsi="仿宋" w:eastAsia="仿宋" w:cs="仿宋"/>
                <w:sz w:val="24"/>
                <w:szCs w:val="24"/>
                <w:highlight w:val="none"/>
                <w:lang w:val="en-US" w:eastAsia="zh-CN"/>
              </w:rPr>
            </w:pPr>
          </w:p>
        </w:tc>
        <w:tc>
          <w:tcPr>
            <w:tcW w:w="8388" w:type="dxa"/>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10.应用支撑系统提供统一的权限管理功能，可实现用户权限的增加、删除等管理。系统支持按照用户、角色授权，并支持页面功能分级授权功能。</w:t>
            </w:r>
            <w:r>
              <w:rPr>
                <w:rFonts w:hint="eastAsia" w:ascii="仿宋_GB2312" w:hAnsi="仿宋_GB2312"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vMerge w:val="continue"/>
            <w:tcBorders>
              <w:left w:val="single" w:color="auto" w:sz="2" w:space="0"/>
              <w:right w:val="single" w:color="000000" w:sz="2" w:space="0"/>
            </w:tcBorders>
          </w:tcPr>
          <w:p>
            <w:pPr>
              <w:rPr>
                <w:rFonts w:hint="eastAsia" w:ascii="仿宋" w:hAnsi="仿宋" w:eastAsia="仿宋" w:cs="仿宋"/>
                <w:sz w:val="24"/>
                <w:szCs w:val="24"/>
                <w:highlight w:val="none"/>
                <w:lang w:val="en-US" w:eastAsia="zh-CN"/>
              </w:rPr>
            </w:pPr>
          </w:p>
        </w:tc>
        <w:tc>
          <w:tcPr>
            <w:tcW w:w="8388" w:type="dxa"/>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11.合作机构在数据传输过程中采取加密措施，保障数据传输的安全性。数据仅在本项目必要范围内使用，相关信息资料严格保密，但我院有数据提取权限。此条长期有效。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（二）其他要求</w:t>
      </w:r>
    </w:p>
    <w:tbl>
      <w:tblPr>
        <w:tblStyle w:val="19"/>
        <w:tblpPr w:leftFromText="180" w:rightFromText="180" w:vertAnchor="text" w:horzAnchor="page" w:tblpX="1797" w:tblpY="225"/>
        <w:tblOverlap w:val="never"/>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054" w:type="dxa"/>
            <w:tcBorders>
              <w:top w:val="single" w:color="000000" w:sz="2" w:space="0"/>
              <w:left w:val="single" w:color="auto" w:sz="2" w:space="0"/>
              <w:bottom w:val="single" w:color="000000" w:sz="2" w:space="0"/>
              <w:right w:val="single" w:color="000000" w:sz="2" w:space="0"/>
            </w:tcBorders>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12.合作机构有专人提供7x24小时客服服务，提供包括系统运维、数据核对、运营需求响应等服务。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054" w:type="dxa"/>
            <w:tcBorders>
              <w:top w:val="single" w:color="000000" w:sz="2" w:space="0"/>
              <w:left w:val="single" w:color="auto" w:sz="2" w:space="0"/>
              <w:bottom w:val="single" w:color="000000" w:sz="2" w:space="0"/>
              <w:right w:val="single" w:color="000000" w:sz="2" w:space="0"/>
            </w:tcBorders>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13.客服服务方式包含且不限于电话、微信、QQ远程、技术人员到场；程序问题解决时限不超过1小时，其他问题响应时间小于2小时。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54" w:type="dxa"/>
            <w:tcBorders>
              <w:top w:val="single" w:color="000000" w:sz="2" w:space="0"/>
              <w:left w:val="single" w:color="auto" w:sz="2" w:space="0"/>
              <w:bottom w:val="single" w:color="000000" w:sz="2" w:space="0"/>
              <w:right w:val="single" w:color="000000" w:sz="2" w:space="0"/>
            </w:tcBorders>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14.我院正常使用平台提供技术指导服务所需硬件及接口费用由合作机构承担。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54" w:type="dxa"/>
            <w:tcBorders>
              <w:top w:val="single" w:color="000000" w:sz="2" w:space="0"/>
              <w:left w:val="single" w:color="auto" w:sz="2" w:space="0"/>
              <w:bottom w:val="single" w:color="000000" w:sz="2" w:space="0"/>
              <w:right w:val="single" w:color="000000" w:sz="2" w:space="0"/>
            </w:tcBorders>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15.合作机构对项目进行运营，为基层医疗机构提供系统建设等技术服务。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54" w:type="dxa"/>
            <w:tcBorders>
              <w:top w:val="single" w:color="000000" w:sz="2" w:space="0"/>
              <w:left w:val="single" w:color="auto" w:sz="2" w:space="0"/>
              <w:bottom w:val="single" w:color="000000" w:sz="2" w:space="0"/>
              <w:right w:val="single" w:color="000000" w:sz="2" w:space="0"/>
            </w:tcBorders>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16.我院向基层医疗机构提供远程门诊服务并收取相应的技术指导费。具体开放技术指导服务科室由我院决定。合作机构必要时须协助我院进行对账和技术指导费的收取。</w:t>
            </w:r>
          </w:p>
        </w:tc>
      </w:tr>
    </w:tbl>
    <w:p>
      <w:pPr>
        <w:jc w:val="both"/>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注：1-16均提供承诺函原件或证明材料复印件并加盖鲜章。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合作期限为3年，合同一年一签，由甲方根据每年合作情况确定是否续签下一年度合同。如遇政策等因素导致项目不能继续的，我院有权终止协议。</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四川省妇幼保健院天府院区（地址：成都市双流区岐黄二路1515号）。</w:t>
      </w:r>
    </w:p>
    <w:p>
      <w:pPr>
        <w:spacing w:line="360" w:lineRule="auto"/>
        <w:ind w:firstLine="560" w:firstLineChars="200"/>
        <w:jc w:val="both"/>
        <w:rPr>
          <w:rFonts w:hint="eastAsia" w:ascii="仿宋" w:hAnsi="仿宋" w:eastAsia="仿宋"/>
          <w:sz w:val="28"/>
          <w:szCs w:val="28"/>
          <w:highlight w:val="none"/>
          <w:lang w:val="en-US" w:eastAsia="zh-CN"/>
        </w:rPr>
      </w:pPr>
    </w:p>
    <w:p>
      <w:pPr>
        <w:spacing w:line="360" w:lineRule="auto"/>
        <w:ind w:firstLine="560" w:firstLineChars="200"/>
        <w:jc w:val="both"/>
        <w:rPr>
          <w:rFonts w:hint="eastAsia" w:ascii="仿宋" w:hAnsi="仿宋" w:eastAsia="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1</w:t>
      </w:r>
      <w:r>
        <w:rPr>
          <w:rFonts w:hint="eastAsia" w:ascii="仿宋" w:hAnsi="仿宋" w:eastAsia="仿宋" w:cs="仿宋"/>
          <w:color w:val="000000"/>
          <w:sz w:val="28"/>
        </w:rPr>
        <w:t>.与其他医院合作的案例</w:t>
      </w:r>
      <w:r>
        <w:rPr>
          <w:rFonts w:hint="eastAsia" w:ascii="仿宋" w:hAnsi="仿宋" w:eastAsia="仿宋" w:cs="仿宋"/>
          <w:color w:val="000000"/>
          <w:sz w:val="28"/>
          <w:lang w:val="en-US" w:eastAsia="zh-CN"/>
        </w:rPr>
        <w:t>展示</w:t>
      </w:r>
      <w:r>
        <w:rPr>
          <w:rFonts w:hint="eastAsia" w:ascii="仿宋" w:hAnsi="仿宋" w:eastAsia="仿宋" w:cs="仿宋"/>
          <w:color w:val="000000"/>
          <w:sz w:val="28"/>
          <w:lang w:eastAsia="zh-CN"/>
        </w:rPr>
        <w:t>。</w:t>
      </w: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满足医院合作模式,提供完整</w:t>
      </w:r>
      <w:r>
        <w:rPr>
          <w:rFonts w:hint="eastAsia" w:ascii="仿宋" w:hAnsi="仿宋" w:eastAsia="仿宋" w:cs="仿宋"/>
          <w:color w:val="000000"/>
          <w:sz w:val="28"/>
          <w:lang w:val="en-US" w:eastAsia="zh-CN"/>
        </w:rPr>
        <w:t>运营</w:t>
      </w:r>
      <w:r>
        <w:rPr>
          <w:rFonts w:hint="eastAsia" w:ascii="仿宋" w:hAnsi="仿宋" w:eastAsia="仿宋" w:cs="仿宋"/>
          <w:color w:val="000000"/>
          <w:sz w:val="28"/>
        </w:rPr>
        <w:t>流程</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系统使用流程</w:t>
      </w:r>
      <w:r>
        <w:rPr>
          <w:rFonts w:hint="eastAsia" w:ascii="仿宋" w:hAnsi="仿宋" w:eastAsia="仿宋" w:cs="仿宋"/>
          <w:color w:val="000000"/>
          <w:sz w:val="28"/>
        </w:rPr>
        <w:t>及质量控制流程</w:t>
      </w:r>
      <w:r>
        <w:rPr>
          <w:rFonts w:hint="eastAsia" w:ascii="仿宋" w:hAnsi="仿宋" w:eastAsia="仿宋" w:cs="仿宋"/>
          <w:color w:val="000000"/>
          <w:sz w:val="28"/>
          <w:lang w:eastAsia="zh-CN"/>
        </w:rPr>
        <w:t>。</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3.</w:t>
      </w:r>
      <w:r>
        <w:rPr>
          <w:rFonts w:ascii="仿宋" w:hAnsi="仿宋" w:eastAsia="仿宋" w:cs="仿宋"/>
          <w:color w:val="000000"/>
          <w:sz w:val="28"/>
        </w:rPr>
        <w:t>应急保障措施</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投诉处理措施</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响应时间、处理方案</w:t>
      </w:r>
      <w:r>
        <w:rPr>
          <w:rFonts w:hint="eastAsia" w:ascii="仿宋" w:hAnsi="仿宋" w:eastAsia="仿宋" w:cs="仿宋"/>
          <w:color w:val="000000"/>
          <w:sz w:val="28"/>
          <w:lang w:eastAsia="zh-CN"/>
        </w:rPr>
        <w:t>）</w:t>
      </w:r>
      <w:r>
        <w:rPr>
          <w:rFonts w:hint="eastAsia" w:ascii="仿宋" w:hAnsi="仿宋" w:eastAsia="仿宋" w:cs="仿宋"/>
          <w:color w:val="000000"/>
          <w:sz w:val="28"/>
        </w:rPr>
        <w:t>。</w:t>
      </w:r>
    </w:p>
    <w:p>
      <w:pPr>
        <w:ind w:firstLine="560" w:firstLineChars="200"/>
      </w:pPr>
      <w:r>
        <w:rPr>
          <w:rFonts w:hint="eastAsia" w:ascii="仿宋" w:hAnsi="仿宋" w:eastAsia="仿宋" w:cs="仿宋"/>
          <w:color w:val="000000"/>
          <w:sz w:val="28"/>
          <w:lang w:val="en-US" w:eastAsia="zh-CN"/>
        </w:rPr>
        <w:t>4.系统搭建及维护总费用报价：由第三方向各基层医疗机构收取，含软硬件，填写为</w:t>
      </w:r>
      <w:r>
        <w:rPr>
          <w:rFonts w:hint="eastAsia" w:ascii="仿宋" w:hAnsi="仿宋" w:eastAsia="仿宋" w:cs="仿宋"/>
          <w:color w:val="000000"/>
          <w:sz w:val="28"/>
          <w:u w:val="single"/>
          <w:lang w:val="en-US" w:eastAsia="zh-CN"/>
        </w:rPr>
        <w:t xml:space="preserve">     </w:t>
      </w:r>
      <w:r>
        <w:rPr>
          <w:rFonts w:hint="eastAsia" w:ascii="仿宋" w:hAnsi="仿宋" w:eastAsia="仿宋" w:cs="仿宋"/>
          <w:color w:val="000000"/>
          <w:sz w:val="28"/>
          <w:lang w:val="en-US" w:eastAsia="zh-CN"/>
        </w:rPr>
        <w:t>元/年/单位（报价是参选机构完成本项目全部工作内容的费用，包括</w:t>
      </w:r>
      <w:bookmarkStart w:id="1" w:name="OLE_LINK2"/>
      <w:r>
        <w:rPr>
          <w:rFonts w:hint="eastAsia" w:ascii="仿宋" w:hAnsi="仿宋" w:eastAsia="仿宋" w:cs="仿宋"/>
          <w:color w:val="000000"/>
          <w:sz w:val="28"/>
          <w:lang w:val="en-US" w:eastAsia="zh-CN"/>
        </w:rPr>
        <w:t>完成本项目所涉及的人工劳务、设备投入、材料、知识产权、利润、风险、税金等一切费用</w:t>
      </w:r>
      <w:bookmarkEnd w:id="1"/>
      <w:r>
        <w:rPr>
          <w:rFonts w:hint="eastAsia" w:ascii="仿宋" w:hAnsi="仿宋" w:eastAsia="仿宋" w:cs="仿宋"/>
          <w:color w:val="000000"/>
          <w:sz w:val="28"/>
          <w:lang w:val="en-US" w:eastAsia="zh-CN"/>
        </w:rPr>
        <w:t>）。</w:t>
      </w:r>
    </w:p>
    <w:p>
      <w:pPr>
        <w:ind w:firstLine="560" w:firstLineChars="200"/>
        <w:jc w:val="both"/>
        <w:rPr>
          <w:rFonts w:hint="eastAsia" w:ascii="仿宋" w:hAnsi="仿宋" w:eastAsia="仿宋" w:cstheme="minorBidi"/>
          <w:kern w:val="2"/>
          <w:sz w:val="28"/>
          <w:szCs w:val="28"/>
          <w:highlight w:val="none"/>
          <w:lang w:val="en-US" w:eastAsia="zh-CN" w:bidi="ar-SA"/>
        </w:rPr>
      </w:pPr>
      <w:r>
        <w:rPr>
          <w:rFonts w:hint="eastAsia" w:ascii="仿宋" w:hAnsi="仿宋" w:eastAsia="仿宋" w:cstheme="minorBidi"/>
          <w:kern w:val="2"/>
          <w:sz w:val="28"/>
          <w:szCs w:val="28"/>
          <w:highlight w:val="none"/>
          <w:lang w:val="en-US" w:eastAsia="zh-CN" w:bidi="ar-SA"/>
        </w:rPr>
        <w:t>注：2-4提供承诺函原件并加盖鲜章；第4项列出总费用报价和明细清单（涉及所有软硬件及服务费用等）。</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3</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w:t>
      </w:r>
      <w:r>
        <w:rPr>
          <w:rFonts w:hint="eastAsia" w:ascii="仿宋" w:hAnsi="仿宋" w:eastAsia="仿宋"/>
          <w:sz w:val="28"/>
          <w:szCs w:val="28"/>
          <w:lang w:val="en-US" w:eastAsia="zh-CN"/>
        </w:rPr>
        <w:t>按</w:t>
      </w:r>
      <w:r>
        <w:rPr>
          <w:rFonts w:hint="eastAsia" w:ascii="仿宋" w:hAnsi="仿宋" w:eastAsia="仿宋"/>
          <w:sz w:val="28"/>
          <w:szCs w:val="28"/>
        </w:rPr>
        <w:t>附件</w:t>
      </w:r>
      <w:r>
        <w:rPr>
          <w:rFonts w:hint="eastAsia" w:ascii="仿宋" w:hAnsi="仿宋" w:eastAsia="仿宋"/>
          <w:sz w:val="28"/>
          <w:szCs w:val="28"/>
          <w:lang w:val="en-US" w:eastAsia="zh-CN"/>
        </w:rPr>
        <w:t>2顺序装订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8</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r>
        <w:rPr>
          <w:rFonts w:hint="eastAsia" w:ascii="仿宋" w:hAnsi="仿宋" w:eastAsia="仿宋"/>
          <w:sz w:val="28"/>
          <w:szCs w:val="28"/>
          <w:lang w:val="en-US" w:eastAsia="zh-CN"/>
        </w:rPr>
        <w:t>并加盖公司印章</w:t>
      </w:r>
      <w:r>
        <w:rPr>
          <w:rFonts w:hint="eastAsia" w:ascii="仿宋" w:hAnsi="仿宋" w:eastAsia="仿宋"/>
          <w:sz w:val="28"/>
          <w:szCs w:val="28"/>
        </w:rPr>
        <w:t>。</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4"/>
        <w:rPr>
          <w:rFonts w:ascii="仿宋" w:hAnsi="仿宋" w:eastAsia="仿宋"/>
          <w:sz w:val="28"/>
          <w:szCs w:val="28"/>
        </w:rPr>
      </w:pPr>
    </w:p>
    <w:p>
      <w:pPr>
        <w:pStyle w:val="4"/>
        <w:rPr>
          <w:rFonts w:ascii="仿宋" w:hAnsi="仿宋" w:eastAsia="仿宋"/>
          <w:sz w:val="28"/>
          <w:szCs w:val="28"/>
        </w:rPr>
      </w:pPr>
    </w:p>
    <w:p>
      <w:pPr>
        <w:pStyle w:val="4"/>
        <w:rPr>
          <w:rFonts w:ascii="仿宋" w:hAnsi="仿宋" w:eastAsia="仿宋"/>
          <w:sz w:val="28"/>
          <w:szCs w:val="28"/>
        </w:rPr>
      </w:pPr>
    </w:p>
    <w:p>
      <w:pPr>
        <w:pStyle w:val="4"/>
        <w:rPr>
          <w:rFonts w:ascii="仿宋" w:hAnsi="仿宋" w:eastAsia="仿宋"/>
          <w:sz w:val="28"/>
          <w:szCs w:val="28"/>
        </w:rPr>
      </w:pPr>
    </w:p>
    <w:p>
      <w:pPr>
        <w:pStyle w:val="4"/>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hint="eastAsia" w:ascii="仿宋" w:hAnsi="仿宋" w:eastAsia="仿宋" w:cs="仿宋"/>
          <w:sz w:val="28"/>
          <w:szCs w:val="28"/>
        </w:rPr>
      </w:pPr>
      <w:r>
        <w:rPr>
          <w:rFonts w:hint="eastAsia" w:ascii="仿宋" w:hAnsi="仿宋" w:eastAsia="仿宋" w:cs="仿宋"/>
          <w:sz w:val="28"/>
          <w:szCs w:val="28"/>
        </w:rPr>
        <w:t>注：1、此表要求响应内容与</w:t>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 三、技术服务要求</w:t>
      </w:r>
      <w:r>
        <w:rPr>
          <w:rFonts w:hint="eastAsia" w:ascii="仿宋" w:hAnsi="仿宋" w:eastAsia="仿宋" w:cs="仿宋"/>
          <w:b/>
          <w:bCs/>
          <w:sz w:val="28"/>
          <w:szCs w:val="28"/>
          <w:lang w:eastAsia="zh-CN"/>
        </w:rPr>
        <w:t>”</w:t>
      </w:r>
      <w:r>
        <w:rPr>
          <w:rFonts w:hint="eastAsia" w:ascii="仿宋" w:hAnsi="仿宋" w:eastAsia="仿宋" w:cs="仿宋"/>
          <w:sz w:val="28"/>
          <w:szCs w:val="28"/>
        </w:rPr>
        <w:t>一一对应、逐一列出</w:t>
      </w:r>
      <w:r>
        <w:rPr>
          <w:rFonts w:hint="eastAsia" w:ascii="仿宋" w:hAnsi="仿宋" w:eastAsia="仿宋" w:cs="仿宋"/>
          <w:sz w:val="28"/>
          <w:szCs w:val="28"/>
          <w:lang w:val="en-US" w:eastAsia="zh-CN"/>
        </w:rPr>
        <w:t>并附证明材料或承诺函加盖公章</w:t>
      </w:r>
      <w:r>
        <w:rPr>
          <w:rFonts w:hint="eastAsia" w:ascii="仿宋" w:hAnsi="仿宋" w:eastAsia="仿宋" w:cs="仿宋"/>
          <w:sz w:val="28"/>
          <w:szCs w:val="28"/>
        </w:rPr>
        <w:t>；2．据实填写偏离及其影响的内容，不得虚假响应，否则视为无效并按规定追究其相关责任。</w:t>
      </w:r>
    </w:p>
    <w:p>
      <w:pPr>
        <w:ind w:firstLine="3360" w:firstLineChars="1050"/>
        <w:rPr>
          <w:rFonts w:hint="eastAsia" w:ascii="仿宋" w:hAnsi="仿宋" w:eastAsia="仿宋" w:cs="仿宋"/>
          <w:sz w:val="32"/>
          <w:szCs w:val="32"/>
        </w:rPr>
      </w:pPr>
    </w:p>
    <w:p>
      <w:pPr>
        <w:ind w:firstLine="4620" w:firstLineChars="1650"/>
        <w:rPr>
          <w:rFonts w:hint="eastAsia" w:ascii="仿宋" w:hAnsi="仿宋" w:eastAsia="仿宋" w:cs="仿宋"/>
          <w:sz w:val="28"/>
          <w:szCs w:val="28"/>
        </w:rPr>
      </w:pPr>
      <w:r>
        <w:rPr>
          <w:rFonts w:hint="eastAsia" w:ascii="仿宋" w:hAnsi="仿宋" w:eastAsia="仿宋" w:cs="仿宋"/>
          <w:sz w:val="28"/>
          <w:szCs w:val="28"/>
        </w:rPr>
        <w:t>法定代表人或授权代表签字：</w:t>
      </w:r>
    </w:p>
    <w:p>
      <w:pPr>
        <w:ind w:firstLine="4620" w:firstLineChars="1650"/>
        <w:rPr>
          <w:rFonts w:hint="eastAsia" w:ascii="仿宋" w:hAnsi="仿宋" w:eastAsia="仿宋" w:cs="仿宋"/>
          <w:sz w:val="28"/>
          <w:szCs w:val="28"/>
        </w:rPr>
      </w:pPr>
      <w:r>
        <w:rPr>
          <w:rFonts w:hint="eastAsia" w:ascii="仿宋" w:hAnsi="仿宋" w:eastAsia="仿宋" w:cs="仿宋"/>
          <w:sz w:val="28"/>
          <w:szCs w:val="28"/>
          <w:lang w:val="en-US" w:eastAsia="zh-CN"/>
        </w:rPr>
        <w:t>参选机构名称（盖章）：</w:t>
      </w:r>
    </w:p>
    <w:p>
      <w:pPr>
        <w:ind w:firstLine="4620" w:firstLineChars="1650"/>
        <w:rPr>
          <w:rFonts w:hint="eastAsia" w:ascii="仿宋" w:hAnsi="仿宋" w:eastAsia="仿宋" w:cs="仿宋"/>
          <w:sz w:val="28"/>
          <w:szCs w:val="28"/>
        </w:rPr>
      </w:pPr>
      <w:r>
        <w:rPr>
          <w:rFonts w:hint="eastAsia" w:ascii="仿宋" w:hAnsi="仿宋" w:eastAsia="仿宋" w:cs="仿宋"/>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5</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参选机构</w:t>
      </w:r>
      <w:r>
        <w:rPr>
          <w:rFonts w:hint="eastAsia" w:ascii="仿宋" w:hAnsi="仿宋" w:eastAsia="仿宋" w:cs="仿宋"/>
          <w:sz w:val="28"/>
          <w:szCs w:val="28"/>
        </w:rPr>
        <w:t>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w:t>
      </w:r>
      <w:r>
        <w:rPr>
          <w:rFonts w:hint="eastAsia" w:ascii="仿宋" w:hAnsi="仿宋" w:eastAsia="仿宋"/>
          <w:sz w:val="28"/>
          <w:szCs w:val="28"/>
          <w:lang w:val="en-US" w:eastAsia="zh-CN"/>
        </w:rPr>
        <w:t>定</w:t>
      </w:r>
      <w:r>
        <w:rPr>
          <w:rFonts w:hint="eastAsia" w:ascii="仿宋" w:hAnsi="仿宋" w:eastAsia="仿宋"/>
          <w:sz w:val="28"/>
          <w:szCs w:val="28"/>
        </w:rPr>
        <w:t>代表</w:t>
      </w:r>
      <w:r>
        <w:rPr>
          <w:rFonts w:hint="eastAsia" w:ascii="仿宋" w:hAnsi="仿宋" w:eastAsia="仿宋"/>
          <w:sz w:val="28"/>
          <w:szCs w:val="28"/>
          <w:lang w:val="en-US" w:eastAsia="zh-CN"/>
        </w:rPr>
        <w:t>人</w:t>
      </w:r>
      <w:r>
        <w:rPr>
          <w:rFonts w:hint="eastAsia" w:ascii="仿宋" w:hAnsi="仿宋" w:eastAsia="仿宋"/>
          <w:sz w:val="28"/>
          <w:szCs w:val="28"/>
        </w:rPr>
        <w:t>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（签字或加盖个人名章）：</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480" w:lineRule="auto"/>
        <w:jc w:val="both"/>
        <w:outlineLvl w:val="0"/>
        <w:rPr>
          <w:rFonts w:hint="eastAsia" w:ascii="仿宋" w:hAnsi="仿宋" w:eastAsia="仿宋"/>
          <w:sz w:val="28"/>
          <w:szCs w:val="28"/>
          <w:lang w:val="en-US" w:eastAsia="zh-CN"/>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pPr>
        <w:adjustRightInd w:val="0"/>
        <w:snapToGrid w:val="0"/>
        <w:spacing w:line="480" w:lineRule="auto"/>
        <w:jc w:val="center"/>
        <w:outlineLvl w:val="0"/>
        <w:rPr>
          <w:rFonts w:hint="eastAsia" w:ascii="仿宋" w:hAnsi="仿宋" w:eastAsia="仿宋"/>
          <w:b/>
          <w:sz w:val="32"/>
          <w:szCs w:val="28"/>
        </w:rPr>
      </w:pPr>
      <w:r>
        <w:rPr>
          <w:rFonts w:hint="eastAsia" w:ascii="仿宋" w:hAnsi="仿宋" w:eastAsia="仿宋"/>
          <w:b/>
          <w:sz w:val="32"/>
          <w:szCs w:val="28"/>
        </w:rPr>
        <w:t>评审办法（综合评分明细表）</w:t>
      </w:r>
    </w:p>
    <w:tbl>
      <w:tblPr>
        <w:tblStyle w:val="18"/>
        <w:tblW w:w="9238" w:type="dxa"/>
        <w:tblInd w:w="0" w:type="dxa"/>
        <w:tblLayout w:type="fixed"/>
        <w:tblCellMar>
          <w:top w:w="0" w:type="dxa"/>
          <w:left w:w="108" w:type="dxa"/>
          <w:bottom w:w="0" w:type="dxa"/>
          <w:right w:w="108" w:type="dxa"/>
        </w:tblCellMar>
      </w:tblPr>
      <w:tblGrid>
        <w:gridCol w:w="1306"/>
        <w:gridCol w:w="1044"/>
        <w:gridCol w:w="891"/>
        <w:gridCol w:w="3597"/>
        <w:gridCol w:w="840"/>
        <w:gridCol w:w="1560"/>
      </w:tblGrid>
      <w:tr>
        <w:tblPrEx>
          <w:tblCellMar>
            <w:top w:w="0" w:type="dxa"/>
            <w:left w:w="108" w:type="dxa"/>
            <w:bottom w:w="0" w:type="dxa"/>
            <w:right w:w="108" w:type="dxa"/>
          </w:tblCellMar>
        </w:tblPrEx>
        <w:trPr>
          <w:trHeight w:val="842"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序号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评分因素及权重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分值</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1913" w:hRule="atLeast"/>
        </w:trPr>
        <w:tc>
          <w:tcPr>
            <w:tcW w:w="130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p>
        </w:tc>
        <w:tc>
          <w:tcPr>
            <w:tcW w:w="104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技术</w:t>
            </w:r>
            <w:r>
              <w:rPr>
                <w:rFonts w:hint="eastAsia" w:ascii="仿宋" w:hAnsi="仿宋" w:eastAsia="仿宋" w:cs="仿宋"/>
                <w:color w:val="000000"/>
                <w:kern w:val="0"/>
                <w:sz w:val="24"/>
                <w:lang w:val="en-US" w:eastAsia="zh-CN" w:bidi="ar"/>
              </w:rPr>
              <w:t>服务</w:t>
            </w:r>
            <w:r>
              <w:rPr>
                <w:rFonts w:hint="eastAsia" w:ascii="仿宋" w:hAnsi="仿宋" w:eastAsia="仿宋" w:cs="仿宋"/>
                <w:color w:val="000000"/>
                <w:kern w:val="0"/>
                <w:sz w:val="24"/>
                <w:lang w:bidi="ar"/>
              </w:rPr>
              <w:t>要求（</w:t>
            </w:r>
            <w:r>
              <w:rPr>
                <w:rFonts w:hint="eastAsia" w:ascii="仿宋" w:hAnsi="仿宋" w:eastAsia="仿宋" w:cs="仿宋"/>
                <w:color w:val="000000"/>
                <w:kern w:val="0"/>
                <w:sz w:val="24"/>
                <w:lang w:val="en-US" w:eastAsia="zh-CN" w:bidi="ar"/>
              </w:rPr>
              <w:t>50</w:t>
            </w:r>
            <w:r>
              <w:rPr>
                <w:rFonts w:hint="eastAsia" w:ascii="仿宋" w:hAnsi="仿宋" w:eastAsia="仿宋" w:cs="仿宋"/>
                <w:color w:val="000000"/>
                <w:kern w:val="0"/>
                <w:sz w:val="24"/>
                <w:lang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40</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1.参选机构带★条款的响应得分规则如下：全部满足带★条为满分，不满足一条扣</w:t>
            </w:r>
            <w:r>
              <w:rPr>
                <w:rFonts w:hint="eastAsia" w:ascii="仿宋" w:hAnsi="仿宋" w:eastAsia="仿宋" w:cs="仿宋"/>
                <w:color w:val="000000"/>
                <w:kern w:val="0"/>
                <w:sz w:val="24"/>
                <w:lang w:val="en-US" w:eastAsia="zh-CN" w:bidi="ar"/>
              </w:rPr>
              <w:t>10</w:t>
            </w:r>
            <w:r>
              <w:rPr>
                <w:rFonts w:hint="eastAsia" w:ascii="仿宋" w:hAnsi="仿宋" w:eastAsia="仿宋" w:cs="仿宋"/>
                <w:color w:val="000000"/>
                <w:kern w:val="0"/>
                <w:sz w:val="24"/>
                <w:lang w:bidi="ar"/>
              </w:rPr>
              <w:t>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响应内容应提供承诺函或其他纸质证明材料并逐页加盖参选机构鲜章。</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带★条款为重要条款的响应。</w:t>
            </w:r>
          </w:p>
        </w:tc>
      </w:tr>
      <w:tr>
        <w:tblPrEx>
          <w:tblCellMar>
            <w:top w:w="0" w:type="dxa"/>
            <w:left w:w="108" w:type="dxa"/>
            <w:bottom w:w="0" w:type="dxa"/>
            <w:right w:w="108" w:type="dxa"/>
          </w:tblCellMar>
        </w:tblPrEx>
        <w:trPr>
          <w:trHeight w:val="2060" w:hRule="atLeast"/>
        </w:trPr>
        <w:tc>
          <w:tcPr>
            <w:tcW w:w="130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rPr>
            </w:pPr>
          </w:p>
        </w:tc>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2.参选机构一般条款的响应得分规则如下：（一般条款是指：除标注“★” 的条款以外的所有条款）</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全部满足为满分，不满足一条扣2分，扣完为止。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488"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业绩证明（1</w:t>
            </w:r>
            <w:r>
              <w:rPr>
                <w:rFonts w:hint="eastAsia" w:ascii="仿宋" w:hAnsi="仿宋" w:eastAsia="仿宋" w:cs="仿宋"/>
                <w:color w:val="000000"/>
                <w:kern w:val="0"/>
                <w:sz w:val="24"/>
                <w:lang w:val="en-US" w:eastAsia="zh-CN" w:bidi="ar"/>
              </w:rPr>
              <w:t>0</w:t>
            </w:r>
            <w:r>
              <w:rPr>
                <w:rFonts w:hint="eastAsia" w:ascii="仿宋" w:hAnsi="仿宋" w:eastAsia="仿宋" w:cs="仿宋"/>
                <w:color w:val="000000"/>
                <w:kern w:val="0"/>
                <w:sz w:val="24"/>
                <w:lang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0</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提供2021年1月1日以来，三级以上医院类似合作案例，每提供1个案例得</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分，总分不超过1</w:t>
            </w:r>
            <w:r>
              <w:rPr>
                <w:rFonts w:hint="eastAsia" w:ascii="仿宋" w:hAnsi="仿宋" w:eastAsia="仿宋" w:cs="仿宋"/>
                <w:color w:val="000000"/>
                <w:kern w:val="0"/>
                <w:sz w:val="24"/>
                <w:lang w:val="en-US" w:eastAsia="zh-CN" w:bidi="ar"/>
              </w:rPr>
              <w:t>0</w:t>
            </w:r>
            <w:r>
              <w:rPr>
                <w:rFonts w:hint="eastAsia" w:ascii="仿宋" w:hAnsi="仿宋" w:eastAsia="仿宋" w:cs="仿宋"/>
                <w:color w:val="000000"/>
                <w:kern w:val="0"/>
                <w:sz w:val="24"/>
                <w:lang w:bidi="ar"/>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须</w:t>
            </w:r>
            <w:r>
              <w:rPr>
                <w:rFonts w:hint="eastAsia" w:ascii="仿宋" w:hAnsi="仿宋" w:eastAsia="仿宋" w:cs="仿宋"/>
                <w:color w:val="000000"/>
                <w:kern w:val="0"/>
                <w:sz w:val="24"/>
                <w:lang w:bidi="ar"/>
              </w:rPr>
              <w:t>提供合同复印件并加盖参选机构鲜章</w:t>
            </w:r>
            <w:r>
              <w:rPr>
                <w:rFonts w:hint="eastAsia" w:ascii="仿宋" w:hAnsi="仿宋" w:eastAsia="仿宋" w:cs="仿宋"/>
                <w:color w:val="000000"/>
                <w:kern w:val="0"/>
                <w:sz w:val="24"/>
                <w:lang w:eastAsia="zh-CN" w:bidi="ar"/>
              </w:rPr>
              <w:t>。</w:t>
            </w:r>
          </w:p>
        </w:tc>
      </w:tr>
      <w:tr>
        <w:tblPrEx>
          <w:tblCellMar>
            <w:top w:w="0" w:type="dxa"/>
            <w:left w:w="108" w:type="dxa"/>
            <w:bottom w:w="0" w:type="dxa"/>
            <w:right w:w="108" w:type="dxa"/>
          </w:tblCellMar>
        </w:tblPrEx>
        <w:trPr>
          <w:trHeight w:val="7152" w:hRule="atLeast"/>
        </w:trPr>
        <w:tc>
          <w:tcPr>
            <w:tcW w:w="130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104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合作方案与服务能力（</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1.有完整的运营流程、系统使用流程及质量控制流程：包括但不限于运营方案、运营目标、系统使用便捷程度、设备及系统性能监控等。</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内容全面、科学合理、针对性强得1</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-18分；（2）内容较为全面、较为科学合理、针对性较强得</w:t>
            </w:r>
            <w:r>
              <w:rPr>
                <w:rFonts w:hint="eastAsia" w:ascii="仿宋" w:hAnsi="仿宋" w:eastAsia="仿宋" w:cs="仿宋"/>
                <w:color w:val="000000"/>
                <w:kern w:val="0"/>
                <w:sz w:val="24"/>
                <w:lang w:val="en-US" w:eastAsia="zh-CN" w:bidi="ar"/>
              </w:rPr>
              <w:t>7</w:t>
            </w: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分；（3）内容基本全面、基本科学合理、针对性一般得1-</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分；（4）内容不全面、不科学合理、针对性差或未提供的不得分。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054" w:hRule="atLeast"/>
        </w:trPr>
        <w:tc>
          <w:tcPr>
            <w:tcW w:w="1306"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rPr>
            </w:pPr>
          </w:p>
        </w:tc>
        <w:tc>
          <w:tcPr>
            <w:tcW w:w="104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12</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有及时响应的应急保障措施</w:t>
            </w:r>
            <w:r>
              <w:rPr>
                <w:rFonts w:hint="eastAsia" w:ascii="仿宋" w:hAnsi="仿宋" w:eastAsia="仿宋" w:cs="仿宋"/>
                <w:color w:val="000000"/>
                <w:kern w:val="0"/>
                <w:sz w:val="24"/>
                <w:lang w:val="en-US" w:eastAsia="zh-CN" w:bidi="ar"/>
              </w:rPr>
              <w:t>与</w:t>
            </w:r>
            <w:r>
              <w:rPr>
                <w:rFonts w:hint="eastAsia" w:ascii="仿宋" w:hAnsi="仿宋" w:eastAsia="仿宋" w:cs="仿宋"/>
                <w:color w:val="000000"/>
                <w:kern w:val="0"/>
                <w:sz w:val="24"/>
                <w:lang w:bidi="ar"/>
              </w:rPr>
              <w:t>投诉处理方案。要求方案清晰、科学、完善、可行性高、针对性强。</w:t>
            </w:r>
          </w:p>
          <w:p>
            <w:pPr>
              <w:widowControl/>
              <w:numPr>
                <w:ilvl w:val="0"/>
                <w:numId w:val="0"/>
              </w:numPr>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eastAsia="zh-CN" w:bidi="ar"/>
              </w:rPr>
              <w:t>）</w:t>
            </w:r>
            <w:r>
              <w:rPr>
                <w:rFonts w:hint="eastAsia" w:ascii="仿宋" w:hAnsi="仿宋" w:eastAsia="仿宋" w:cs="仿宋"/>
                <w:b w:val="0"/>
                <w:bCs w:val="0"/>
                <w:color w:val="000000"/>
                <w:kern w:val="0"/>
                <w:sz w:val="24"/>
                <w:szCs w:val="22"/>
                <w:lang w:val="en-US" w:eastAsia="zh-CN" w:bidi="ar"/>
              </w:rPr>
              <w:t>内容全面、科学合理、可操作性强得9-12分；（2）内容较为全面、较为科学合理、操作性较强得5-8分；（3）内容基本全面、基本科学合理、操作性一般得1-4分。（4）内容不全面、不科学、操作性差或未提供的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054" w:hRule="atLeast"/>
        </w:trPr>
        <w:tc>
          <w:tcPr>
            <w:tcW w:w="130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4"/>
              </w:rPr>
            </w:pPr>
          </w:p>
        </w:tc>
        <w:tc>
          <w:tcPr>
            <w:tcW w:w="10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系统搭建及维护总费用报价（由第三方向各基层医疗机构收取，包含</w:t>
            </w:r>
            <w:r>
              <w:rPr>
                <w:rFonts w:hint="eastAsia" w:ascii="仿宋" w:hAnsi="仿宋" w:eastAsia="仿宋" w:cs="仿宋"/>
                <w:color w:val="000000"/>
                <w:kern w:val="0"/>
                <w:sz w:val="24"/>
                <w:lang w:bidi="ar"/>
              </w:rPr>
              <w:t>完成本项目所涉及的人工劳务、设备投入、材料、知识产权、利润、风险、税金等一切费用</w:t>
            </w:r>
            <w:r>
              <w:rPr>
                <w:rFonts w:hint="eastAsia" w:ascii="仿宋" w:hAnsi="仿宋" w:eastAsia="仿宋" w:cs="仿宋"/>
                <w:color w:val="000000"/>
                <w:kern w:val="0"/>
                <w:sz w:val="24"/>
                <w:lang w:val="en-US" w:eastAsia="zh-CN" w:bidi="ar"/>
              </w:rPr>
              <w:t>）</w:t>
            </w:r>
          </w:p>
          <w:p>
            <w:pPr>
              <w:widowControl/>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（1）收费合理得6.68-10分；（2）收费较合理得3.34-6.67分；（3）收费基本合理一般得1-3.33分。（4）收费不合理的不得分。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lang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（1）向基层医疗机构收取的费用应合理、不增加基层医疗机构负担。</w:t>
            </w:r>
          </w:p>
          <w:p>
            <w:pPr>
              <w:widowControl/>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（2）须列出所有费用清单。</w:t>
            </w:r>
          </w:p>
          <w:p>
            <w:pPr>
              <w:widowControl/>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（3）须算出最后总费用报价XX元/年/基层单位。</w:t>
            </w:r>
          </w:p>
        </w:tc>
      </w:tr>
    </w:tbl>
    <w:p>
      <w:pPr>
        <w:pStyle w:val="6"/>
        <w:rPr>
          <w:rFonts w:hint="eastAsia" w:ascii="仿宋" w:hAnsi="仿宋" w:eastAsia="仿宋" w:cs="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p>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F8084B-97F8-4615-9C60-4711C53C1A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6E955667-1A95-4E5D-AB39-AAB6614CD759}"/>
  </w:font>
  <w:font w:name="方正小标宋简体">
    <w:panose1 w:val="02000000000000000000"/>
    <w:charset w:val="86"/>
    <w:family w:val="auto"/>
    <w:pitch w:val="default"/>
    <w:sig w:usb0="00000001" w:usb1="080E0000" w:usb2="00000000" w:usb3="00000000" w:csb0="00040000" w:csb1="00000000"/>
    <w:embedRegular r:id="rId3" w:fontKey="{ECEF3B38-8546-430B-987F-7EDFD9D4886E}"/>
  </w:font>
  <w:font w:name="仿宋">
    <w:panose1 w:val="02010609060101010101"/>
    <w:charset w:val="86"/>
    <w:family w:val="modern"/>
    <w:pitch w:val="default"/>
    <w:sig w:usb0="800002BF" w:usb1="38CF7CFA" w:usb2="00000016" w:usb3="00000000" w:csb0="00040001" w:csb1="00000000"/>
    <w:embedRegular r:id="rId4" w:fontKey="{CCB9B500-B2C4-4D9A-9D8F-25EAD1CE67A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DEEC"/>
    <w:multiLevelType w:val="singleLevel"/>
    <w:tmpl w:val="9FB4DEEC"/>
    <w:lvl w:ilvl="0" w:tentative="0">
      <w:start w:val="10"/>
      <w:numFmt w:val="decimal"/>
      <w:lvlText w:val="%1."/>
      <w:lvlJc w:val="left"/>
      <w:pPr>
        <w:tabs>
          <w:tab w:val="left" w:pos="312"/>
        </w:tabs>
      </w:pPr>
    </w:lvl>
  </w:abstractNum>
  <w:abstractNum w:abstractNumId="1">
    <w:nsid w:val="CD1F8BEA"/>
    <w:multiLevelType w:val="singleLevel"/>
    <w:tmpl w:val="CD1F8BEA"/>
    <w:lvl w:ilvl="0" w:tentative="0">
      <w:start w:val="3"/>
      <w:numFmt w:val="chineseCounting"/>
      <w:suff w:val="nothing"/>
      <w:lvlText w:val="%1、"/>
      <w:lvlJc w:val="left"/>
      <w:rPr>
        <w:rFonts w:hint="eastAsia"/>
      </w:rPr>
    </w:lvl>
  </w:abstractNum>
  <w:abstractNum w:abstractNumId="2">
    <w:nsid w:val="18B7F971"/>
    <w:multiLevelType w:val="singleLevel"/>
    <w:tmpl w:val="18B7F971"/>
    <w:lvl w:ilvl="0" w:tentative="0">
      <w:start w:val="2"/>
      <w:numFmt w:val="decimal"/>
      <w:lvlText w:val="%1."/>
      <w:lvlJc w:val="left"/>
      <w:pPr>
        <w:tabs>
          <w:tab w:val="left" w:pos="312"/>
        </w:tabs>
      </w:pPr>
    </w:lvl>
  </w:abstractNum>
  <w:abstractNum w:abstractNumId="3">
    <w:nsid w:val="21094089"/>
    <w:multiLevelType w:val="singleLevel"/>
    <w:tmpl w:val="21094089"/>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44516F7"/>
    <w:rsid w:val="05926AFC"/>
    <w:rsid w:val="065917A1"/>
    <w:rsid w:val="068A4895"/>
    <w:rsid w:val="07865CC1"/>
    <w:rsid w:val="08B12BD3"/>
    <w:rsid w:val="08B4633C"/>
    <w:rsid w:val="08B867DE"/>
    <w:rsid w:val="08EB2137"/>
    <w:rsid w:val="08FC124B"/>
    <w:rsid w:val="090917E1"/>
    <w:rsid w:val="09106A69"/>
    <w:rsid w:val="094E1467"/>
    <w:rsid w:val="09EE37F9"/>
    <w:rsid w:val="0A5F67C4"/>
    <w:rsid w:val="0AC21C32"/>
    <w:rsid w:val="0AD777BB"/>
    <w:rsid w:val="0AF93291"/>
    <w:rsid w:val="0B3C19E4"/>
    <w:rsid w:val="0B61144B"/>
    <w:rsid w:val="0B6B22C9"/>
    <w:rsid w:val="0BD53BE7"/>
    <w:rsid w:val="0C3D1EB8"/>
    <w:rsid w:val="0C801DA5"/>
    <w:rsid w:val="0CB40DE6"/>
    <w:rsid w:val="0CE00A95"/>
    <w:rsid w:val="0D0D639A"/>
    <w:rsid w:val="0D32412C"/>
    <w:rsid w:val="0D4B59D5"/>
    <w:rsid w:val="0D4D6A8C"/>
    <w:rsid w:val="0D5B6275"/>
    <w:rsid w:val="0DD979BE"/>
    <w:rsid w:val="0E083E00"/>
    <w:rsid w:val="0E8C7BD5"/>
    <w:rsid w:val="0EB6385C"/>
    <w:rsid w:val="0EC10A41"/>
    <w:rsid w:val="0EC61D01"/>
    <w:rsid w:val="0F19286B"/>
    <w:rsid w:val="0F662CE2"/>
    <w:rsid w:val="0FE11533"/>
    <w:rsid w:val="10A31851"/>
    <w:rsid w:val="10A94BB8"/>
    <w:rsid w:val="10B30F68"/>
    <w:rsid w:val="10F1501F"/>
    <w:rsid w:val="11403123"/>
    <w:rsid w:val="11BE2BEF"/>
    <w:rsid w:val="11D81D3B"/>
    <w:rsid w:val="12244F80"/>
    <w:rsid w:val="12485112"/>
    <w:rsid w:val="129B01A8"/>
    <w:rsid w:val="12F92617"/>
    <w:rsid w:val="135103B7"/>
    <w:rsid w:val="13A659AB"/>
    <w:rsid w:val="13DA4490"/>
    <w:rsid w:val="146A0021"/>
    <w:rsid w:val="146B6E96"/>
    <w:rsid w:val="14906D7B"/>
    <w:rsid w:val="14D56A06"/>
    <w:rsid w:val="14E81685"/>
    <w:rsid w:val="14FC0436"/>
    <w:rsid w:val="151A266A"/>
    <w:rsid w:val="156D00FF"/>
    <w:rsid w:val="159F500E"/>
    <w:rsid w:val="15B036FB"/>
    <w:rsid w:val="169326D4"/>
    <w:rsid w:val="173E7FFA"/>
    <w:rsid w:val="174D31CB"/>
    <w:rsid w:val="17A56CAE"/>
    <w:rsid w:val="181D494B"/>
    <w:rsid w:val="182C48E3"/>
    <w:rsid w:val="184C1E5E"/>
    <w:rsid w:val="186175D4"/>
    <w:rsid w:val="194062FB"/>
    <w:rsid w:val="19B13200"/>
    <w:rsid w:val="1A2B77F4"/>
    <w:rsid w:val="1A3F3860"/>
    <w:rsid w:val="1AB36AD5"/>
    <w:rsid w:val="1B5E59A7"/>
    <w:rsid w:val="1B783377"/>
    <w:rsid w:val="1B9A2198"/>
    <w:rsid w:val="1BE3708C"/>
    <w:rsid w:val="1C080CFB"/>
    <w:rsid w:val="1C393D1E"/>
    <w:rsid w:val="1D102CD1"/>
    <w:rsid w:val="1D2B664D"/>
    <w:rsid w:val="1D77071A"/>
    <w:rsid w:val="1DB63878"/>
    <w:rsid w:val="1DDA0EB6"/>
    <w:rsid w:val="1E095C33"/>
    <w:rsid w:val="1E55507B"/>
    <w:rsid w:val="1E8A0861"/>
    <w:rsid w:val="1F0617AF"/>
    <w:rsid w:val="1F166329"/>
    <w:rsid w:val="1F617814"/>
    <w:rsid w:val="1F9F2057"/>
    <w:rsid w:val="1FC20CFF"/>
    <w:rsid w:val="20296706"/>
    <w:rsid w:val="204C362A"/>
    <w:rsid w:val="20796DDF"/>
    <w:rsid w:val="20C368F8"/>
    <w:rsid w:val="211D3C0E"/>
    <w:rsid w:val="211E7B23"/>
    <w:rsid w:val="21336A03"/>
    <w:rsid w:val="21503898"/>
    <w:rsid w:val="21991621"/>
    <w:rsid w:val="219F63D1"/>
    <w:rsid w:val="225E0A1A"/>
    <w:rsid w:val="225E4AC7"/>
    <w:rsid w:val="22E14319"/>
    <w:rsid w:val="232F02A4"/>
    <w:rsid w:val="236C49D9"/>
    <w:rsid w:val="23F43EF2"/>
    <w:rsid w:val="249E5066"/>
    <w:rsid w:val="24DB0068"/>
    <w:rsid w:val="24E94533"/>
    <w:rsid w:val="25F3318F"/>
    <w:rsid w:val="25F8534E"/>
    <w:rsid w:val="260E3B25"/>
    <w:rsid w:val="26864004"/>
    <w:rsid w:val="26D46B1D"/>
    <w:rsid w:val="27363334"/>
    <w:rsid w:val="27533EE6"/>
    <w:rsid w:val="27715C8F"/>
    <w:rsid w:val="286640ED"/>
    <w:rsid w:val="286D5C93"/>
    <w:rsid w:val="292359E4"/>
    <w:rsid w:val="29915199"/>
    <w:rsid w:val="29CA26C7"/>
    <w:rsid w:val="29EC4C3C"/>
    <w:rsid w:val="2A0E0CEC"/>
    <w:rsid w:val="2A332420"/>
    <w:rsid w:val="2AA40CE7"/>
    <w:rsid w:val="2AB071E6"/>
    <w:rsid w:val="2AB71FB6"/>
    <w:rsid w:val="2B285689"/>
    <w:rsid w:val="2B3763B3"/>
    <w:rsid w:val="2BA07916"/>
    <w:rsid w:val="2BAA0794"/>
    <w:rsid w:val="2BD30E9C"/>
    <w:rsid w:val="2BD630A1"/>
    <w:rsid w:val="2C3F2356"/>
    <w:rsid w:val="2CB76CC5"/>
    <w:rsid w:val="2CCA6A56"/>
    <w:rsid w:val="2D436988"/>
    <w:rsid w:val="2DB651CE"/>
    <w:rsid w:val="2E920B22"/>
    <w:rsid w:val="2F643C4E"/>
    <w:rsid w:val="30C16364"/>
    <w:rsid w:val="315E1E05"/>
    <w:rsid w:val="317A4570"/>
    <w:rsid w:val="31A812D2"/>
    <w:rsid w:val="322E4844"/>
    <w:rsid w:val="326F1DF0"/>
    <w:rsid w:val="33092244"/>
    <w:rsid w:val="33356B95"/>
    <w:rsid w:val="33FE18E2"/>
    <w:rsid w:val="3489489A"/>
    <w:rsid w:val="350C467A"/>
    <w:rsid w:val="35106D39"/>
    <w:rsid w:val="35853A9F"/>
    <w:rsid w:val="358E7516"/>
    <w:rsid w:val="35AE2C2F"/>
    <w:rsid w:val="35BD05E5"/>
    <w:rsid w:val="35E548A3"/>
    <w:rsid w:val="36406C01"/>
    <w:rsid w:val="36D52B69"/>
    <w:rsid w:val="374C704E"/>
    <w:rsid w:val="3787194D"/>
    <w:rsid w:val="378816EF"/>
    <w:rsid w:val="3797278D"/>
    <w:rsid w:val="383051EC"/>
    <w:rsid w:val="392C4B7E"/>
    <w:rsid w:val="394C64E9"/>
    <w:rsid w:val="396A15C3"/>
    <w:rsid w:val="39A700C1"/>
    <w:rsid w:val="39E214A4"/>
    <w:rsid w:val="3B32271F"/>
    <w:rsid w:val="3B84310D"/>
    <w:rsid w:val="3BAA6D17"/>
    <w:rsid w:val="3C221C81"/>
    <w:rsid w:val="3C676D43"/>
    <w:rsid w:val="3CEA420A"/>
    <w:rsid w:val="3CEE1D4C"/>
    <w:rsid w:val="3DA908AC"/>
    <w:rsid w:val="3DCC55BB"/>
    <w:rsid w:val="3E52324D"/>
    <w:rsid w:val="3F5D2B3A"/>
    <w:rsid w:val="3F9F4367"/>
    <w:rsid w:val="3FBB48C6"/>
    <w:rsid w:val="3FC76DC7"/>
    <w:rsid w:val="3FE0432D"/>
    <w:rsid w:val="3FFC1167"/>
    <w:rsid w:val="40270DAD"/>
    <w:rsid w:val="40955117"/>
    <w:rsid w:val="412C40D1"/>
    <w:rsid w:val="413C37E5"/>
    <w:rsid w:val="41CD47B2"/>
    <w:rsid w:val="435C657B"/>
    <w:rsid w:val="445E4006"/>
    <w:rsid w:val="452E25E2"/>
    <w:rsid w:val="453B46DA"/>
    <w:rsid w:val="458D77A6"/>
    <w:rsid w:val="459D541B"/>
    <w:rsid w:val="45AC0314"/>
    <w:rsid w:val="45B55914"/>
    <w:rsid w:val="4608590C"/>
    <w:rsid w:val="4621793D"/>
    <w:rsid w:val="462A4554"/>
    <w:rsid w:val="462C3E28"/>
    <w:rsid w:val="46767799"/>
    <w:rsid w:val="467B1005"/>
    <w:rsid w:val="46A77952"/>
    <w:rsid w:val="47150D60"/>
    <w:rsid w:val="479240E4"/>
    <w:rsid w:val="47F23C51"/>
    <w:rsid w:val="480A63EB"/>
    <w:rsid w:val="48387928"/>
    <w:rsid w:val="48757D08"/>
    <w:rsid w:val="487A3C34"/>
    <w:rsid w:val="49634005"/>
    <w:rsid w:val="49C02229"/>
    <w:rsid w:val="4A25750C"/>
    <w:rsid w:val="4B3612CD"/>
    <w:rsid w:val="4B466FC9"/>
    <w:rsid w:val="4D001B6A"/>
    <w:rsid w:val="4D761E2D"/>
    <w:rsid w:val="4D875AEF"/>
    <w:rsid w:val="4DA92202"/>
    <w:rsid w:val="4DF71675"/>
    <w:rsid w:val="4E4A7541"/>
    <w:rsid w:val="4E6E7530"/>
    <w:rsid w:val="4E6F0C06"/>
    <w:rsid w:val="4F18763F"/>
    <w:rsid w:val="50852AB2"/>
    <w:rsid w:val="51290E9D"/>
    <w:rsid w:val="52024F4A"/>
    <w:rsid w:val="520B5239"/>
    <w:rsid w:val="521C7D39"/>
    <w:rsid w:val="52725202"/>
    <w:rsid w:val="53184E30"/>
    <w:rsid w:val="5336549F"/>
    <w:rsid w:val="54E44B55"/>
    <w:rsid w:val="557A2C1D"/>
    <w:rsid w:val="5587107B"/>
    <w:rsid w:val="55BF6A67"/>
    <w:rsid w:val="560C305F"/>
    <w:rsid w:val="566D64C3"/>
    <w:rsid w:val="576B0616"/>
    <w:rsid w:val="579719E1"/>
    <w:rsid w:val="579B5B23"/>
    <w:rsid w:val="57BB325E"/>
    <w:rsid w:val="57D63138"/>
    <w:rsid w:val="58110BCB"/>
    <w:rsid w:val="58D603B7"/>
    <w:rsid w:val="58FF4954"/>
    <w:rsid w:val="59EE3C8E"/>
    <w:rsid w:val="5B5E0F00"/>
    <w:rsid w:val="5B8560DB"/>
    <w:rsid w:val="5B8F6EDB"/>
    <w:rsid w:val="5D645E2F"/>
    <w:rsid w:val="5D6705E7"/>
    <w:rsid w:val="5D8660BC"/>
    <w:rsid w:val="5D8E48EC"/>
    <w:rsid w:val="5DDE0EF2"/>
    <w:rsid w:val="5DE02363"/>
    <w:rsid w:val="5DE057CC"/>
    <w:rsid w:val="5E8F3D62"/>
    <w:rsid w:val="5EF02608"/>
    <w:rsid w:val="5F174C09"/>
    <w:rsid w:val="5F213199"/>
    <w:rsid w:val="5F2E3793"/>
    <w:rsid w:val="5F5A134A"/>
    <w:rsid w:val="5FAF18FA"/>
    <w:rsid w:val="5FDF68A3"/>
    <w:rsid w:val="60470FEA"/>
    <w:rsid w:val="607B17DC"/>
    <w:rsid w:val="608E59B3"/>
    <w:rsid w:val="608F7035"/>
    <w:rsid w:val="61A6391B"/>
    <w:rsid w:val="61B3231E"/>
    <w:rsid w:val="61D14789"/>
    <w:rsid w:val="61E723CC"/>
    <w:rsid w:val="621C1D54"/>
    <w:rsid w:val="62785FB1"/>
    <w:rsid w:val="62C377FD"/>
    <w:rsid w:val="62C61B62"/>
    <w:rsid w:val="62DA2A3D"/>
    <w:rsid w:val="62EF200D"/>
    <w:rsid w:val="631A75CF"/>
    <w:rsid w:val="637D216D"/>
    <w:rsid w:val="63B82D47"/>
    <w:rsid w:val="63CB4828"/>
    <w:rsid w:val="655B26C1"/>
    <w:rsid w:val="65644F35"/>
    <w:rsid w:val="65983C87"/>
    <w:rsid w:val="65EB2F60"/>
    <w:rsid w:val="66B44169"/>
    <w:rsid w:val="66C750AE"/>
    <w:rsid w:val="66D63C10"/>
    <w:rsid w:val="672572C9"/>
    <w:rsid w:val="67765C92"/>
    <w:rsid w:val="67A734A9"/>
    <w:rsid w:val="67FC610F"/>
    <w:rsid w:val="68CA1553"/>
    <w:rsid w:val="68F87A44"/>
    <w:rsid w:val="69196E75"/>
    <w:rsid w:val="6A1D2F6F"/>
    <w:rsid w:val="6A372895"/>
    <w:rsid w:val="6AA638F9"/>
    <w:rsid w:val="6B7632CC"/>
    <w:rsid w:val="6B8E4AB9"/>
    <w:rsid w:val="6BEF7107"/>
    <w:rsid w:val="6C66644F"/>
    <w:rsid w:val="6C830396"/>
    <w:rsid w:val="6C8C675E"/>
    <w:rsid w:val="6C8D626A"/>
    <w:rsid w:val="6D3F3B91"/>
    <w:rsid w:val="6D732880"/>
    <w:rsid w:val="6E362785"/>
    <w:rsid w:val="6F1E2035"/>
    <w:rsid w:val="6F3D1E1C"/>
    <w:rsid w:val="6F7C10CD"/>
    <w:rsid w:val="6FA24510"/>
    <w:rsid w:val="701D28B0"/>
    <w:rsid w:val="703D6AAE"/>
    <w:rsid w:val="70D8620A"/>
    <w:rsid w:val="7148086A"/>
    <w:rsid w:val="71AE3117"/>
    <w:rsid w:val="71BF6271"/>
    <w:rsid w:val="73EF0213"/>
    <w:rsid w:val="74161AF0"/>
    <w:rsid w:val="74253AE1"/>
    <w:rsid w:val="7478299F"/>
    <w:rsid w:val="748950FC"/>
    <w:rsid w:val="75504B8E"/>
    <w:rsid w:val="7571237D"/>
    <w:rsid w:val="75A45B38"/>
    <w:rsid w:val="75C97621"/>
    <w:rsid w:val="75F83B2E"/>
    <w:rsid w:val="766537ED"/>
    <w:rsid w:val="767710B2"/>
    <w:rsid w:val="768F7938"/>
    <w:rsid w:val="773405DA"/>
    <w:rsid w:val="775F36A1"/>
    <w:rsid w:val="77955421"/>
    <w:rsid w:val="77BA4E88"/>
    <w:rsid w:val="77C95EEC"/>
    <w:rsid w:val="77F96D63"/>
    <w:rsid w:val="781E1859"/>
    <w:rsid w:val="78216CB5"/>
    <w:rsid w:val="789D7585"/>
    <w:rsid w:val="78BB4A14"/>
    <w:rsid w:val="78D22FF2"/>
    <w:rsid w:val="79112886"/>
    <w:rsid w:val="791473AE"/>
    <w:rsid w:val="793F6063"/>
    <w:rsid w:val="79984985"/>
    <w:rsid w:val="79996D18"/>
    <w:rsid w:val="79B83691"/>
    <w:rsid w:val="7A4E0664"/>
    <w:rsid w:val="7AD47607"/>
    <w:rsid w:val="7ADC2D9C"/>
    <w:rsid w:val="7B96182F"/>
    <w:rsid w:val="7C4E6C18"/>
    <w:rsid w:val="7C6333F8"/>
    <w:rsid w:val="7C9D1F7F"/>
    <w:rsid w:val="7CBE4869"/>
    <w:rsid w:val="7CC35590"/>
    <w:rsid w:val="7CE12914"/>
    <w:rsid w:val="7D0821F2"/>
    <w:rsid w:val="7D40798F"/>
    <w:rsid w:val="7D536FFF"/>
    <w:rsid w:val="7DC01526"/>
    <w:rsid w:val="7E1D1CCD"/>
    <w:rsid w:val="7E394D59"/>
    <w:rsid w:val="7E4B05E8"/>
    <w:rsid w:val="7EA61CC2"/>
    <w:rsid w:val="7EC363D0"/>
    <w:rsid w:val="7EEA6053"/>
    <w:rsid w:val="7F840255"/>
    <w:rsid w:val="7F9E0BEB"/>
    <w:rsid w:val="7FA75CF2"/>
    <w:rsid w:val="7FB66D9C"/>
    <w:rsid w:val="7FE900B8"/>
    <w:rsid w:val="7FFE6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9"/>
    <w:pPr>
      <w:keepNext/>
      <w:keepLines/>
      <w:spacing w:beforeLines="100" w:afterLines="100"/>
      <w:jc w:val="center"/>
      <w:outlineLvl w:val="1"/>
    </w:pPr>
    <w:rPr>
      <w:rFonts w:ascii="Arial" w:hAnsi="Arial" w:eastAsia="黑体"/>
      <w:b/>
      <w:bCs/>
      <w:sz w:val="30"/>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rPr>
  </w:style>
  <w:style w:type="paragraph" w:styleId="5">
    <w:name w:val="annotation text"/>
    <w:basedOn w:val="1"/>
    <w:link w:val="28"/>
    <w:semiHidden/>
    <w:unhideWhenUsed/>
    <w:qFormat/>
    <w:uiPriority w:val="99"/>
    <w:pPr>
      <w:jc w:val="left"/>
    </w:pPr>
  </w:style>
  <w:style w:type="paragraph" w:styleId="6">
    <w:name w:val="Body Text"/>
    <w:basedOn w:val="1"/>
    <w:next w:val="1"/>
    <w:semiHidden/>
    <w:unhideWhenUsed/>
    <w:qFormat/>
    <w:uiPriority w:val="99"/>
    <w:pPr>
      <w:spacing w:after="120"/>
    </w:pPr>
  </w:style>
  <w:style w:type="paragraph" w:styleId="7">
    <w:name w:val="Body Text Indent"/>
    <w:basedOn w:val="1"/>
    <w:qFormat/>
    <w:uiPriority w:val="0"/>
    <w:pPr>
      <w:ind w:firstLine="660"/>
    </w:pPr>
    <w:rPr>
      <w:rFonts w:ascii="宋体" w:hAnsi="宋体"/>
      <w:color w:val="000000"/>
      <w:kern w:val="0"/>
      <w:sz w:val="24"/>
      <w:szCs w:val="24"/>
    </w:rPr>
  </w:style>
  <w:style w:type="paragraph" w:styleId="8">
    <w:name w:val="index 4"/>
    <w:basedOn w:val="1"/>
    <w:next w:val="1"/>
    <w:qFormat/>
    <w:uiPriority w:val="0"/>
    <w:pPr>
      <w:ind w:left="600" w:leftChars="600"/>
    </w:pPr>
  </w:style>
  <w:style w:type="paragraph" w:styleId="9">
    <w:name w:val="Plain Text"/>
    <w:basedOn w:val="1"/>
    <w:unhideWhenUsed/>
    <w:qFormat/>
    <w:uiPriority w:val="99"/>
    <w:rPr>
      <w:rFonts w:ascii="宋体" w:hAnsi="Courier New" w:eastAsia="宋体"/>
    </w:r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annotation subject"/>
    <w:basedOn w:val="5"/>
    <w:next w:val="5"/>
    <w:link w:val="29"/>
    <w:semiHidden/>
    <w:unhideWhenUsed/>
    <w:qFormat/>
    <w:uiPriority w:val="99"/>
    <w:rPr>
      <w:b/>
      <w:bCs/>
    </w:rPr>
  </w:style>
  <w:style w:type="paragraph" w:styleId="16">
    <w:name w:val="Body Text First Indent"/>
    <w:basedOn w:val="6"/>
    <w:next w:val="1"/>
    <w:qFormat/>
    <w:uiPriority w:val="0"/>
    <w:pPr>
      <w:ind w:firstLine="420" w:firstLineChars="100"/>
    </w:pPr>
  </w:style>
  <w:style w:type="paragraph" w:styleId="17">
    <w:name w:val="Body Text First Indent 2"/>
    <w:basedOn w:val="7"/>
    <w:qFormat/>
    <w:uiPriority w:val="0"/>
    <w:pPr>
      <w:ind w:firstLine="42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Emphasis"/>
    <w:basedOn w:val="20"/>
    <w:qFormat/>
    <w:uiPriority w:val="20"/>
    <w:rPr>
      <w:i/>
    </w:rPr>
  </w:style>
  <w:style w:type="character" w:styleId="22">
    <w:name w:val="annotation reference"/>
    <w:basedOn w:val="20"/>
    <w:semiHidden/>
    <w:unhideWhenUsed/>
    <w:qFormat/>
    <w:uiPriority w:val="99"/>
    <w:rPr>
      <w:sz w:val="21"/>
      <w:szCs w:val="21"/>
    </w:rPr>
  </w:style>
  <w:style w:type="paragraph" w:customStyle="1" w:styleId="23">
    <w:name w:val="表格文字"/>
    <w:basedOn w:val="24"/>
    <w:qFormat/>
    <w:uiPriority w:val="0"/>
  </w:style>
  <w:style w:type="paragraph" w:customStyle="1" w:styleId="24">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5">
    <w:name w:val="List Paragraph"/>
    <w:basedOn w:val="1"/>
    <w:qFormat/>
    <w:uiPriority w:val="34"/>
    <w:pPr>
      <w:ind w:firstLine="420" w:firstLineChars="200"/>
    </w:pPr>
  </w:style>
  <w:style w:type="character" w:customStyle="1" w:styleId="26">
    <w:name w:val="页眉 Char"/>
    <w:basedOn w:val="20"/>
    <w:link w:val="13"/>
    <w:qFormat/>
    <w:uiPriority w:val="99"/>
    <w:rPr>
      <w:sz w:val="18"/>
      <w:szCs w:val="18"/>
    </w:rPr>
  </w:style>
  <w:style w:type="character" w:customStyle="1" w:styleId="27">
    <w:name w:val="页脚 Char"/>
    <w:basedOn w:val="20"/>
    <w:link w:val="12"/>
    <w:qFormat/>
    <w:uiPriority w:val="99"/>
    <w:rPr>
      <w:sz w:val="18"/>
      <w:szCs w:val="18"/>
    </w:rPr>
  </w:style>
  <w:style w:type="character" w:customStyle="1" w:styleId="28">
    <w:name w:val="批注文字 Char"/>
    <w:basedOn w:val="20"/>
    <w:link w:val="5"/>
    <w:semiHidden/>
    <w:qFormat/>
    <w:uiPriority w:val="99"/>
  </w:style>
  <w:style w:type="character" w:customStyle="1" w:styleId="29">
    <w:name w:val="批注主题 Char"/>
    <w:basedOn w:val="28"/>
    <w:link w:val="15"/>
    <w:semiHidden/>
    <w:qFormat/>
    <w:uiPriority w:val="99"/>
    <w:rPr>
      <w:b/>
      <w:bCs/>
    </w:rPr>
  </w:style>
  <w:style w:type="character" w:customStyle="1" w:styleId="30">
    <w:name w:val="批注框文本 Char"/>
    <w:basedOn w:val="20"/>
    <w:link w:val="11"/>
    <w:semiHidden/>
    <w:qFormat/>
    <w:uiPriority w:val="99"/>
    <w:rPr>
      <w:sz w:val="18"/>
      <w:szCs w:val="18"/>
    </w:rPr>
  </w:style>
  <w:style w:type="character" w:customStyle="1" w:styleId="31">
    <w:name w:val="日期 Char"/>
    <w:basedOn w:val="20"/>
    <w:link w:val="10"/>
    <w:semiHidden/>
    <w:qFormat/>
    <w:uiPriority w:val="99"/>
  </w:style>
  <w:style w:type="table" w:customStyle="1" w:styleId="32">
    <w:name w:val="网格型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paragraph" w:customStyle="1" w:styleId="34">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35">
    <w:name w:val=".正文"/>
    <w:basedOn w:val="1"/>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6">
    <w:name w:val="font61"/>
    <w:basedOn w:val="20"/>
    <w:qFormat/>
    <w:uiPriority w:val="0"/>
    <w:rPr>
      <w:rFonts w:hint="eastAsia" w:ascii="仿宋_GB2312" w:eastAsia="仿宋_GB2312" w:cs="仿宋_GB2312"/>
      <w:color w:val="000000"/>
      <w:sz w:val="22"/>
      <w:szCs w:val="22"/>
      <w:u w:val="none"/>
    </w:rPr>
  </w:style>
  <w:style w:type="paragraph" w:customStyle="1" w:styleId="37">
    <w:name w:val="null3"/>
    <w:hidden/>
    <w:qFormat/>
    <w:uiPriority w:val="0"/>
    <w:rPr>
      <w:rFonts w:hint="eastAsia" w:asciiTheme="minorHAnsi" w:hAnsiTheme="minorHAnsi" w:eastAsiaTheme="minorEastAsia" w:cstheme="minorBidi"/>
      <w:lang w:val="en-US" w:eastAsia="zh-Hans"/>
    </w:rPr>
  </w:style>
  <w:style w:type="paragraph" w:customStyle="1" w:styleId="38">
    <w:name w:val="列出段落1"/>
    <w:basedOn w:val="1"/>
    <w:qFormat/>
    <w:uiPriority w:val="34"/>
    <w:pPr>
      <w:autoSpaceDE/>
      <w:autoSpaceDN/>
      <w:ind w:firstLine="420" w:firstLineChars="200"/>
      <w:jc w:val="both"/>
    </w:pPr>
    <w:rPr>
      <w:rFonts w:ascii="Times New Roman" w:hAnsi="Times New Roman" w:cs="Times New Roman"/>
      <w:kern w:val="2"/>
      <w:sz w:val="21"/>
      <w:szCs w:val="24"/>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6134</Words>
  <Characters>6405</Characters>
  <Lines>49</Lines>
  <Paragraphs>13</Paragraphs>
  <TotalTime>57</TotalTime>
  <ScaleCrop>false</ScaleCrop>
  <LinksUpToDate>false</LinksUpToDate>
  <CharactersWithSpaces>6500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helena</cp:lastModifiedBy>
  <cp:lastPrinted>2020-10-19T07:41:00Z</cp:lastPrinted>
  <dcterms:modified xsi:type="dcterms:W3CDTF">2024-08-29T06:38:27Z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2052-12.1.0.15120</vt:lpwstr>
  </property>
  <property fmtid="{D5CDD505-2E9C-101B-9397-08002B2CF9AE}" pid="4" name="ICV">
    <vt:lpwstr>F46843204D9B4D7EAF6CD175BF986453_13</vt:lpwstr>
  </property>
</Properties>
</file>