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487" w:type="dxa"/>
            <w:vAlign w:val="center"/>
          </w:tcPr>
          <w:p>
            <w:pPr>
              <w:spacing w:line="360" w:lineRule="exact"/>
              <w:jc w:val="center"/>
              <w:rPr>
                <w:rFonts w:ascii="宋体" w:hAnsi="Times New Roman" w:eastAsia="宋体" w:cs="Times New Roman"/>
              </w:rPr>
            </w:pPr>
            <w:r>
              <w:rPr>
                <w:rFonts w:hint="eastAsia" w:ascii="宋体" w:hAnsi="宋体" w:eastAsia="宋体" w:cs="Times New Roman"/>
                <w:b w:val="0"/>
                <w:bCs w:val="0"/>
                <w:kern w:val="2"/>
                <w:sz w:val="21"/>
                <w:szCs w:val="21"/>
                <w:lang w:val="en-US" w:eastAsia="zh-CN" w:bidi="ar-SA"/>
              </w:rPr>
              <w:t>老年人体质检测一体机</w:t>
            </w:r>
          </w:p>
        </w:tc>
        <w:tc>
          <w:tcPr>
            <w:tcW w:w="1183" w:type="dxa"/>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1台</w:t>
            </w:r>
          </w:p>
        </w:tc>
        <w:tc>
          <w:tcPr>
            <w:tcW w:w="1454" w:type="dxa"/>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9.3</w:t>
            </w:r>
          </w:p>
        </w:tc>
      </w:tr>
    </w:tbl>
    <w:p>
      <w:pPr>
        <w:pStyle w:val="14"/>
      </w:pPr>
    </w:p>
    <w:p>
      <w:pPr>
        <w:spacing w:line="360" w:lineRule="exact"/>
        <w:jc w:val="left"/>
        <w:rPr>
          <w:rFonts w:ascii="仿宋" w:hAnsi="仿宋" w:eastAsia="仿宋" w:cs="Segoe UI"/>
          <w:b/>
          <w:color w:val="333333"/>
          <w:spacing w:val="8"/>
          <w:kern w:val="0"/>
          <w:sz w:val="28"/>
          <w:szCs w:val="28"/>
        </w:rPr>
      </w:pPr>
      <w:r>
        <w:rPr>
          <w:rFonts w:hint="eastAsia"/>
          <w:b/>
          <w:bCs/>
        </w:rPr>
        <w:t>二、技术要求：</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1.▲适用范围：用于综合评价老年人肌肉状况、协助判断老年人肌少症等。</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2.测试系统由SARC-CalF量表、小腿围测量、握力测试、六米步速测试仪、五次坐起测试仪以及测试APP组成。</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3.测试过程中具有实时显示各测试模块连接情况，保证数据上传的稳定性。</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4.在每个检测项检测完成时，实时显示每个项目的检测数据；检测完成后能即时生成诊断测试报告。</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5.▲检测软件具备用户管理功能，内容包括建档、测试、查询历史纪录、导出检测结果等功能。</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6.系统的评价标准基于《中国老年人肌少症诊疗专家共识（2021）》制定。</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7.测试APP可开放接口与平台/系统对接。</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8.检测要求：系统具备≥4个测试功能模块，至少包括：SARC-CalF量表（包含小腿围测量）、握力测试、六米步速测试和五次坐起测试。每个测试模块可独立运行，支持多人同时使用不同测试模块。</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9.具有肌少症测评系统软件著作权登记证书。</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10.SARC-CalF量表及小腿围测量</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10.1 测试传感器采用智能电子软尺。</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10.2 具有维度及直线测量功能，支持数据实时上传。</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10.3▲量程：0-1500mm；分度值：1mm；误差：±0.2%。</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10.4具有电子化问卷管理功能，支持问卷实时提交。</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11.握力测试仪</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11.1 ▲可根据手掌大小自由调节握距。</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11.2 测试仪内外握把均内置不锈钢片，加强牢固度，防止握把变形。</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11.3 量程：5kg－100kg ；分度值：0.1kg ；误差：±0.3%。</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12.六米步速测试垫</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12.1 测试传感器采用压力感应检测计时。</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12.2 固定6米距离，收纳再展开后无需重新测量距离。</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12.3 第二次测试可更改起点、终点位置，方便测试。</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12.4 量程：0～9999.99S；分度值：0.01s；误差：±0.1%。</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13.五次坐起测试仪</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13.1测试传感器采用霍尔传感器。</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13.2具有计数功能并在屏幕显示。</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13.3测试完成后，支持编辑测试结果。 </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13.4 量程：0次~999次；分度值：1次；误差： ±1次。</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14.测试平板及软件</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14.1管理员账号可对报告发送地址、采集器配置地址、测试方式、测试者信息等进行设置。</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14.2用户管理：具有测试者信息关键字搜索功能；支持查看历史测试记录及历史测试报告、编辑和删除用户信息等操作；支持测试报告上传服务端。</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14.3待测试清单：测试全程中支持查看未测试者人数；完成全部检测后自动移出待测试清单。</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14.4检测数据：具有检测数据存储功能，支持查看检测结果及检测过程中的状态。显示内容至少包括测试结果、平均值、最大值、检测过程中的状态等信息。</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14.5▲报告：测试完成后，报告具有自动生成功能。个人报告内容至少包含测试结果、正常范围及评价，肌肉量详细评价，总体评价等；功能测试结果部分至少包含测试结果、正常范围值及评价、维度分析结果等；肌肉量详细报告至少包含四肢各节段肌肉量及评价等；总体评价内容至少包含低肌少症风险、肌少症可能、肌少症、严重肌少症等。体成分报告至少包含人体成分分析、肌肉脂肪分析、肥胖分析、肌肉均衡、测试结果、身体总评分、体型判断等。</w:t>
      </w:r>
    </w:p>
    <w:p>
      <w:pPr>
        <w:numPr>
          <w:ilvl w:val="0"/>
          <w:numId w:val="0"/>
        </w:numPr>
        <w:spacing w:line="360" w:lineRule="exact"/>
        <w:ind w:leftChars="0"/>
        <w:jc w:val="lef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14.6尺寸：≥10寸。运行内存：≥4G，内存容量:≥128G。</w:t>
      </w:r>
    </w:p>
    <w:p>
      <w:pPr>
        <w:numPr>
          <w:ilvl w:val="0"/>
          <w:numId w:val="0"/>
        </w:numPr>
        <w:spacing w:line="360" w:lineRule="exact"/>
        <w:ind w:leftChars="0"/>
        <w:jc w:val="left"/>
        <w:rPr>
          <w:b/>
          <w:bCs/>
        </w:rPr>
      </w:pPr>
      <w:r>
        <w:rPr>
          <w:rFonts w:hint="eastAsia"/>
          <w:b/>
          <w:bCs/>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：合同签订生效后，收到采购人通知后30日内完成安装调试并交付采购人验收。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2.付款方法和条件：</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2.1乙方在合同签订生效之日起的7个工作日内，按合同总价10%支付履约保证金。</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2.3货物自验收合格之日满2年，甲方接到乙方付款申请后30个工作日内，甲方一次性无息退还乙方的履约保证金。</w:t>
      </w:r>
    </w:p>
    <w:p>
      <w:pPr>
        <w:spacing w:line="360" w:lineRule="exact"/>
        <w:jc w:val="both"/>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2.4经验收乙方履约不合格的，履约保证金不予退还。</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ascii="宋体" w:hAnsi="宋体" w:eastAsia="宋体" w:cs="宋体"/>
          <w:color w:val="000000"/>
          <w:kern w:val="0"/>
          <w:lang w:val="en-US" w:eastAsia="zh-CN"/>
        </w:rPr>
        <w:t>最终</w:t>
      </w:r>
      <w:r>
        <w:rPr>
          <w:rFonts w:hint="eastAsia" w:ascii="宋体" w:hAnsi="宋体" w:eastAsia="宋体" w:cs="宋体"/>
          <w:color w:val="000000"/>
          <w:kern w:val="0"/>
          <w:lang w:eastAsia="zh-CN"/>
        </w:rPr>
        <w:t>验收合格后提供至少</w:t>
      </w:r>
      <w:r>
        <w:rPr>
          <w:rFonts w:hint="eastAsia" w:ascii="宋体" w:hAnsi="宋体" w:eastAsia="宋体" w:cs="宋体"/>
          <w:color w:val="FF0000"/>
          <w:kern w:val="0"/>
          <w:lang w:val="en-US" w:eastAsia="zh-CN"/>
        </w:rPr>
        <w:t>3</w:t>
      </w:r>
      <w:r>
        <w:rPr>
          <w:rFonts w:hint="eastAsia" w:ascii="宋体" w:hAnsi="宋体" w:eastAsia="宋体" w:cs="宋体"/>
          <w:color w:val="FF0000"/>
          <w:kern w:val="0"/>
          <w:lang w:eastAsia="zh-CN"/>
        </w:rPr>
        <w:t>年</w:t>
      </w:r>
      <w:r>
        <w:rPr>
          <w:rFonts w:hint="eastAsia" w:ascii="宋体" w:hAnsi="宋体" w:eastAsia="宋体" w:cs="宋体"/>
          <w:color w:val="000000"/>
          <w:kern w:val="0"/>
          <w:lang w:eastAsia="zh-CN"/>
        </w:rPr>
        <w:t>原厂质保（含整机所有部件；如质保期内部件损坏，中标人免费更换全新原厂配件，并对更换部件延长一年质保）。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420" w:lineRule="exact"/>
        <w:jc w:val="both"/>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4.5中标人应承诺保证设备停产后至少5年的零配件供应。</w:t>
      </w:r>
      <w:r>
        <w:rPr>
          <w:rFonts w:hint="eastAsia" w:ascii="宋体" w:hAnsi="宋体" w:eastAsia="宋体" w:cs="宋体"/>
          <w:color w:val="000000"/>
          <w:kern w:val="0"/>
          <w:lang w:val="en-US" w:eastAsia="zh-CN"/>
        </w:rPr>
        <w:t>半年</w:t>
      </w:r>
      <w:r>
        <w:rPr>
          <w:rFonts w:hint="eastAsia" w:ascii="宋体" w:hAnsi="宋体" w:eastAsia="宋体" w:cs="宋体"/>
          <w:color w:val="000000"/>
          <w:kern w:val="0"/>
          <w:lang w:eastAsia="zh-CN"/>
        </w:rPr>
        <w:t>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widowControl/>
        <w:jc w:val="left"/>
        <w:rPr>
          <w:rFonts w:hint="eastAsia" w:ascii="宋体" w:hAnsi="宋体" w:eastAsia="宋体" w:cs="Segoe UI"/>
          <w:b/>
          <w:bCs/>
          <w:color w:val="333333"/>
          <w:kern w:val="0"/>
          <w:sz w:val="28"/>
          <w:szCs w:val="28"/>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688"/>
        <w:gridCol w:w="1170"/>
        <w:gridCol w:w="851"/>
        <w:gridCol w:w="595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89"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324"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5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40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804"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528"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551"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401"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804"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eastAsia="宋体" w:cs="宋体"/>
              </w:rPr>
            </w:pPr>
            <w:r>
              <w:rPr>
                <w:rFonts w:hint="eastAsia" w:ascii="宋体" w:hAnsi="宋体" w:eastAsia="宋体" w:cs="宋体"/>
              </w:rPr>
              <w:t>注：报价最低的为基准价。</w:t>
            </w:r>
          </w:p>
        </w:tc>
        <w:tc>
          <w:tcPr>
            <w:tcW w:w="528"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688" w:type="dxa"/>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cs="Segoe UI"/>
                <w:color w:val="000000"/>
                <w:kern w:val="0"/>
              </w:rPr>
              <w:t>2</w:t>
            </w:r>
          </w:p>
        </w:tc>
        <w:tc>
          <w:tcPr>
            <w:tcW w:w="1170" w:type="dxa"/>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55</w:t>
            </w:r>
            <w:r>
              <w:rPr>
                <w:rFonts w:hint="eastAsia" w:ascii="宋体" w:hAnsi="宋体" w:cs="Segoe UI"/>
                <w:color w:val="000000"/>
                <w:kern w:val="0"/>
              </w:rPr>
              <w:t>%</w:t>
            </w:r>
          </w:p>
        </w:tc>
        <w:tc>
          <w:tcPr>
            <w:tcW w:w="852" w:type="dxa"/>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cs="Segoe UI"/>
                <w:color w:val="000000"/>
                <w:kern w:val="0"/>
                <w:lang w:val="en-US" w:eastAsia="zh-CN"/>
              </w:rPr>
              <w:t>55</w:t>
            </w:r>
          </w:p>
        </w:tc>
        <w:tc>
          <w:tcPr>
            <w:tcW w:w="5955" w:type="dxa"/>
            <w:noWrap w:val="0"/>
            <w:vAlign w:val="center"/>
          </w:tcPr>
          <w:p>
            <w:pPr>
              <w:widowControl/>
              <w:spacing w:line="360" w:lineRule="exact"/>
              <w:rPr>
                <w:rFonts w:hint="eastAsia" w:ascii="宋体" w:hAnsi="宋体" w:cs="宋体"/>
                <w:color w:val="auto"/>
              </w:rPr>
            </w:pPr>
            <w:r>
              <w:rPr>
                <w:rFonts w:hint="eastAsia" w:ascii="宋体" w:hAnsi="宋体" w:cs="宋体"/>
                <w:color w:val="auto"/>
              </w:rPr>
              <w:t>完全符合招标文件技术参数要求得</w:t>
            </w:r>
            <w:r>
              <w:rPr>
                <w:rFonts w:hint="eastAsia" w:ascii="宋体" w:hAnsi="宋体" w:cs="宋体"/>
                <w:color w:val="auto"/>
                <w:lang w:val="en-US" w:eastAsia="zh-CN"/>
              </w:rPr>
              <w:t>55</w:t>
            </w:r>
            <w:r>
              <w:rPr>
                <w:rFonts w:hint="eastAsia" w:ascii="宋体" w:hAnsi="宋体" w:cs="宋体"/>
                <w:color w:val="auto"/>
              </w:rPr>
              <w:t>分。▲号条款负偏离一项扣</w:t>
            </w:r>
            <w:r>
              <w:rPr>
                <w:rFonts w:hint="eastAsia" w:ascii="宋体" w:hAnsi="宋体" w:cs="宋体"/>
                <w:color w:val="auto"/>
                <w:lang w:val="en-US" w:eastAsia="zh-CN"/>
              </w:rPr>
              <w:t>6</w:t>
            </w:r>
            <w:r>
              <w:rPr>
                <w:rFonts w:hint="eastAsia" w:ascii="宋体" w:hAnsi="宋体" w:cs="宋体"/>
                <w:color w:val="auto"/>
              </w:rPr>
              <w:t>分，一般条款负偏离一项扣</w:t>
            </w:r>
            <w:r>
              <w:rPr>
                <w:rFonts w:hint="eastAsia" w:ascii="宋体" w:hAnsi="宋体" w:cs="宋体"/>
                <w:color w:val="auto"/>
                <w:lang w:val="en-US" w:eastAsia="zh-CN"/>
              </w:rPr>
              <w:t>1</w:t>
            </w:r>
            <w:r>
              <w:rPr>
                <w:rFonts w:hint="eastAsia" w:ascii="宋体" w:hAnsi="宋体" w:cs="宋体"/>
                <w:color w:val="auto"/>
              </w:rPr>
              <w:t>分，扣完为止。（▲号条款共</w:t>
            </w:r>
            <w:r>
              <w:rPr>
                <w:rFonts w:hint="eastAsia" w:ascii="宋体" w:hAnsi="宋体" w:cs="宋体"/>
                <w:color w:val="auto"/>
                <w:lang w:val="en-US" w:eastAsia="zh-CN"/>
              </w:rPr>
              <w:t>5</w:t>
            </w:r>
            <w:r>
              <w:rPr>
                <w:rFonts w:hint="eastAsia" w:ascii="宋体" w:hAnsi="宋体" w:cs="宋体"/>
                <w:color w:val="auto"/>
              </w:rPr>
              <w:t>项，一般条款共</w:t>
            </w:r>
            <w:r>
              <w:rPr>
                <w:rFonts w:hint="eastAsia" w:ascii="宋体" w:hAnsi="宋体" w:cs="宋体"/>
                <w:color w:val="auto"/>
                <w:lang w:val="en-US" w:eastAsia="zh-CN"/>
              </w:rPr>
              <w:t>25</w:t>
            </w:r>
            <w:r>
              <w:rPr>
                <w:rFonts w:hint="eastAsia" w:ascii="宋体" w:hAnsi="宋体" w:cs="宋体"/>
                <w:color w:val="auto"/>
              </w:rPr>
              <w:t>项），</w:t>
            </w:r>
          </w:p>
          <w:p>
            <w:pPr>
              <w:widowControl/>
              <w:spacing w:line="360" w:lineRule="exact"/>
              <w:rPr>
                <w:rFonts w:ascii="宋体" w:hAnsi="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528" w:type="pct"/>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3</w:t>
            </w:r>
          </w:p>
        </w:tc>
        <w:tc>
          <w:tcPr>
            <w:tcW w:w="55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7</w:t>
            </w:r>
            <w:r>
              <w:rPr>
                <w:rFonts w:hint="eastAsia" w:ascii="宋体" w:hAnsi="宋体" w:eastAsia="宋体" w:cs="宋体"/>
              </w:rPr>
              <w:t>%</w:t>
            </w:r>
          </w:p>
        </w:tc>
        <w:tc>
          <w:tcPr>
            <w:tcW w:w="401" w:type="pct"/>
            <w:noWrap w:val="0"/>
            <w:vAlign w:val="center"/>
          </w:tcPr>
          <w:p>
            <w:pPr>
              <w:widowControl/>
              <w:spacing w:line="360" w:lineRule="exact"/>
              <w:jc w:val="center"/>
              <w:rPr>
                <w:rFonts w:hint="eastAsia" w:ascii="宋体" w:hAnsi="宋体" w:eastAsia="宋体" w:cs="宋体"/>
                <w:lang w:val="en-US" w:eastAsia="zh-CN"/>
              </w:rPr>
            </w:pPr>
            <w:r>
              <w:rPr>
                <w:rFonts w:hint="eastAsia" w:ascii="宋体" w:hAnsi="宋体" w:cs="宋体"/>
                <w:lang w:val="en-US" w:eastAsia="zh-CN"/>
              </w:rPr>
              <w:t>7</w:t>
            </w:r>
          </w:p>
        </w:tc>
        <w:tc>
          <w:tcPr>
            <w:tcW w:w="2804" w:type="pct"/>
            <w:noWrap w:val="0"/>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每具有一个同类型产品业绩的得3.5分，最高得7分。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注：提供项目合同复印件或中标（成交）通知书复印件并加盖投标人公章（鲜章）。</w:t>
            </w:r>
          </w:p>
        </w:tc>
        <w:tc>
          <w:tcPr>
            <w:tcW w:w="528" w:type="pct"/>
            <w:noWrap w:val="0"/>
            <w:vAlign w:val="center"/>
          </w:tcPr>
          <w:p>
            <w:pPr>
              <w:widowControl/>
              <w:spacing w:line="360" w:lineRule="exact"/>
              <w:jc w:val="center"/>
              <w:rPr>
                <w:rFonts w:ascii="宋体" w:hAnsi="宋体" w:cs="Segoe UI"/>
                <w:color w:val="000000"/>
                <w:kern w:val="0"/>
              </w:rPr>
            </w:pPr>
            <w:r>
              <w:rPr>
                <w:rFonts w:hint="eastAsia" w:ascii="宋体" w:hAnsi="宋体" w:eastAsia="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4</w:t>
            </w:r>
          </w:p>
        </w:tc>
        <w:tc>
          <w:tcPr>
            <w:tcW w:w="55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401" w:type="pct"/>
            <w:noWrap w:val="0"/>
            <w:vAlign w:val="center"/>
          </w:tcPr>
          <w:p>
            <w:pPr>
              <w:widowControl/>
              <w:spacing w:line="360" w:lineRule="exact"/>
              <w:jc w:val="center"/>
              <w:rPr>
                <w:rFonts w:ascii="宋体" w:hAnsi="宋体" w:cs="Segoe UI"/>
                <w:color w:val="333333"/>
                <w:kern w:val="0"/>
              </w:rPr>
            </w:pPr>
            <w:r>
              <w:rPr>
                <w:rFonts w:hint="eastAsia" w:ascii="宋体" w:hAnsi="宋体" w:eastAsia="宋体" w:cs="宋体"/>
                <w:lang w:val="en-US" w:eastAsia="zh-CN"/>
              </w:rPr>
              <w:t>8</w:t>
            </w:r>
          </w:p>
        </w:tc>
        <w:tc>
          <w:tcPr>
            <w:tcW w:w="2804" w:type="pct"/>
            <w:noWrap w:val="0"/>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528" w:type="pct"/>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pStyle w:val="2"/>
        <w:rPr>
          <w:rFonts w:hint="eastAsia"/>
        </w:rPr>
      </w:pPr>
      <w:bookmarkStart w:id="1" w:name="_GoBack"/>
      <w:bookmarkEnd w:id="1"/>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8F2498"/>
    <w:rsid w:val="395149AF"/>
    <w:rsid w:val="39CE1F6A"/>
    <w:rsid w:val="3DA970F6"/>
    <w:rsid w:val="3DE462AE"/>
    <w:rsid w:val="444A2A6A"/>
    <w:rsid w:val="45FE0BC5"/>
    <w:rsid w:val="47A53522"/>
    <w:rsid w:val="49A664ED"/>
    <w:rsid w:val="4B671727"/>
    <w:rsid w:val="4C76008D"/>
    <w:rsid w:val="4F954CC0"/>
    <w:rsid w:val="51E40B98"/>
    <w:rsid w:val="59213BB4"/>
    <w:rsid w:val="5B1829CF"/>
    <w:rsid w:val="5DC85630"/>
    <w:rsid w:val="5F381B5D"/>
    <w:rsid w:val="60021495"/>
    <w:rsid w:val="622F0396"/>
    <w:rsid w:val="63D266D5"/>
    <w:rsid w:val="65B66BE6"/>
    <w:rsid w:val="6CA02C6A"/>
    <w:rsid w:val="700B2FC9"/>
    <w:rsid w:val="734A410E"/>
    <w:rsid w:val="735C33F9"/>
    <w:rsid w:val="74E17C0A"/>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4">
    <w:name w:val="toc 7"/>
    <w:basedOn w:val="1"/>
    <w:next w:val="1"/>
    <w:qFormat/>
    <w:uiPriority w:val="0"/>
    <w:pPr>
      <w:ind w:left="1200"/>
    </w:pPr>
    <w:rPr>
      <w:rFonts w:ascii="Calibri"/>
    </w:rPr>
  </w:style>
  <w:style w:type="paragraph" w:styleId="5">
    <w:name w:val="Body Text"/>
    <w:basedOn w:val="1"/>
    <w:next w:val="1"/>
    <w:link w:val="18"/>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98"/>
    <w:pPr>
      <w:spacing w:before="240" w:after="60"/>
      <w:jc w:val="center"/>
      <w:outlineLvl w:val="0"/>
    </w:pPr>
    <w:rPr>
      <w:rFonts w:ascii="等线 Light" w:hAnsi="等线 Light"/>
      <w:b/>
      <w:bCs/>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10"/>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5"/>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2024-07-31T00:40:00Z</cp:lastPrinted>
  <dcterms:modified xsi:type="dcterms:W3CDTF">2024-09-04T00:31:54Z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