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615C" w14:textId="28696622" w:rsidR="00805A9B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附件7：</w:t>
      </w:r>
    </w:p>
    <w:p w14:paraId="13FD2A98" w14:textId="391C3713" w:rsidR="00DF2BE6" w:rsidRPr="00064DA7" w:rsidRDefault="0003499F" w:rsidP="002B5A31">
      <w:pPr>
        <w:spacing w:line="560" w:lineRule="exact"/>
        <w:jc w:val="center"/>
        <w:rPr>
          <w:rFonts w:ascii="方正小标宋简体" w:eastAsia="方正小标宋简体" w:hAnsi="方正小标宋简体"/>
          <w:sz w:val="32"/>
          <w:szCs w:val="32"/>
        </w:rPr>
      </w:pPr>
      <w:r w:rsidRPr="00064DA7">
        <w:rPr>
          <w:rFonts w:ascii="方正小标宋简体" w:eastAsia="方正小标宋简体" w:hAnsi="方正小标宋简体" w:hint="eastAsia"/>
          <w:sz w:val="32"/>
          <w:szCs w:val="32"/>
        </w:rPr>
        <w:t>综合评分明细表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144"/>
        <w:gridCol w:w="700"/>
        <w:gridCol w:w="5509"/>
        <w:gridCol w:w="1982"/>
      </w:tblGrid>
      <w:tr w:rsidR="00DF2BE6" w14:paraId="26F4CEC4" w14:textId="77777777" w:rsidTr="008F75DD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D5DE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49EE2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评分因素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01A0B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分值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3FEF2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评分标准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879C7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kern w:val="0"/>
                <w:szCs w:val="21"/>
              </w:rPr>
              <w:t>说明</w:t>
            </w:r>
          </w:p>
        </w:tc>
      </w:tr>
      <w:tr w:rsidR="00DF2BE6" w14:paraId="57A982A1" w14:textId="77777777" w:rsidTr="008F75DD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F844" w14:textId="77777777" w:rsidR="00DF2BE6" w:rsidRPr="00767182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76718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D11FC" w14:textId="77777777" w:rsidR="00DF2BE6" w:rsidRPr="00BE79C9" w:rsidRDefault="00DF2BE6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报价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7BCBF" w14:textId="31894455" w:rsidR="00DF2BE6" w:rsidRPr="00BE79C9" w:rsidRDefault="00B176EB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0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0E12E" w14:textId="4B0AEE19" w:rsidR="00DF2BE6" w:rsidRPr="00BE79C9" w:rsidRDefault="00DF2BE6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满足磋商文件要求且响应价格最低的响应报价为磋商基准价，其价格分为满分。其他供应商的价格</w:t>
            </w:r>
            <w:proofErr w:type="gramStart"/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分统一</w:t>
            </w:r>
            <w:proofErr w:type="gramEnd"/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按照下列公式计算：磋商报价得分=(磋商基准价／最后磋商报价)</w:t>
            </w:r>
            <w:r w:rsidR="00B176EB">
              <w:rPr>
                <w:rFonts w:ascii="宋体" w:eastAsia="宋体" w:hAnsi="宋体" w:cs="宋体"/>
                <w:bCs/>
                <w:kern w:val="0"/>
                <w:szCs w:val="21"/>
              </w:rPr>
              <w:t>*20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%*100</w:t>
            </w:r>
            <w:r w:rsidR="00767182">
              <w:rPr>
                <w:rFonts w:ascii="宋体" w:eastAsia="宋体" w:hAnsi="宋体" w:cs="宋体" w:hint="eastAsia"/>
                <w:bCs/>
                <w:kern w:val="0"/>
                <w:szCs w:val="21"/>
              </w:rPr>
              <w:t>。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B4380" w14:textId="77777777" w:rsidR="00DF2BE6" w:rsidRPr="00BE79C9" w:rsidRDefault="00DF2BE6" w:rsidP="002B5A31">
            <w:pPr>
              <w:adjustRightInd w:val="0"/>
              <w:snapToGrid w:val="0"/>
              <w:ind w:firstLineChars="200" w:firstLine="42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</w:p>
        </w:tc>
      </w:tr>
      <w:tr w:rsidR="00DF2BE6" w14:paraId="770C8A96" w14:textId="77777777" w:rsidTr="008F75DD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39B9" w14:textId="542F797B" w:rsidR="00DF2BE6" w:rsidRPr="00BE79C9" w:rsidRDefault="004A4DE3" w:rsidP="002B5A31">
            <w:pPr>
              <w:pStyle w:val="aa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76E56" w14:textId="77777777" w:rsidR="00DF2BE6" w:rsidRPr="00BE79C9" w:rsidRDefault="00DF2BE6" w:rsidP="002B5A31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 w:rsidRPr="00BE79C9">
              <w:rPr>
                <w:rFonts w:eastAsia="宋体"/>
                <w:bCs/>
                <w:szCs w:val="21"/>
                <w:lang w:val="en-US" w:eastAsia="zh-CN" w:bidi="ar-SA"/>
              </w:rPr>
              <w:t>服务方案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A418" w14:textId="562FDF53" w:rsidR="00DF2BE6" w:rsidRPr="00BE79C9" w:rsidRDefault="004A4DE3" w:rsidP="002B5A31">
            <w:pPr>
              <w:pStyle w:val="Other10"/>
              <w:spacing w:line="240" w:lineRule="auto"/>
              <w:ind w:firstLine="0"/>
              <w:jc w:val="center"/>
              <w:rPr>
                <w:rFonts w:eastAsia="宋体"/>
                <w:bCs/>
                <w:kern w:val="0"/>
                <w:szCs w:val="21"/>
                <w:lang w:val="en-US" w:eastAsia="zh-CN" w:bidi="ar-SA"/>
              </w:rPr>
            </w:pPr>
            <w:r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3</w:t>
            </w:r>
            <w:r w:rsidR="00AA7104">
              <w:rPr>
                <w:rFonts w:eastAsia="宋体"/>
                <w:bCs/>
                <w:kern w:val="0"/>
                <w:szCs w:val="21"/>
                <w:lang w:val="en-US" w:eastAsia="zh-CN" w:bidi="ar-SA"/>
              </w:rPr>
              <w:t>0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4182B" w14:textId="4449B729" w:rsidR="00DF2BE6" w:rsidRPr="00C8571B" w:rsidRDefault="00DF2BE6" w:rsidP="002B5A31">
            <w:pPr>
              <w:rPr>
                <w:rFonts w:ascii="宋体" w:eastAsia="宋体" w:hAnsi="宋体"/>
                <w:szCs w:val="21"/>
              </w:rPr>
            </w:pPr>
            <w:r w:rsidRPr="00C8571B">
              <w:rPr>
                <w:rFonts w:ascii="宋体" w:eastAsia="宋体" w:hAnsi="宋体" w:hint="eastAsia"/>
                <w:szCs w:val="21"/>
              </w:rPr>
              <w:t>根据</w:t>
            </w:r>
            <w:r w:rsidR="00BE79C9" w:rsidRPr="00C8571B">
              <w:rPr>
                <w:rFonts w:ascii="宋体" w:eastAsia="宋体" w:hAnsi="宋体" w:hint="eastAsia"/>
                <w:szCs w:val="21"/>
              </w:rPr>
              <w:t>投标人</w:t>
            </w:r>
            <w:r w:rsidRPr="00C8571B">
              <w:rPr>
                <w:rFonts w:ascii="宋体" w:eastAsia="宋体" w:hAnsi="宋体" w:hint="eastAsia"/>
                <w:szCs w:val="21"/>
              </w:rPr>
              <w:t>针对本项目提供的</w:t>
            </w:r>
            <w:r w:rsidR="00BE79C9" w:rsidRPr="00C8571B">
              <w:rPr>
                <w:rFonts w:ascii="宋体" w:eastAsia="宋体" w:hAnsi="宋体" w:hint="eastAsia"/>
                <w:szCs w:val="21"/>
              </w:rPr>
              <w:t>粘滞阻尼器检验</w:t>
            </w:r>
            <w:r w:rsidR="002908D6" w:rsidRPr="00C8571B">
              <w:rPr>
                <w:rFonts w:ascii="宋体" w:eastAsia="宋体" w:hAnsi="宋体" w:hint="eastAsia"/>
                <w:szCs w:val="21"/>
              </w:rPr>
              <w:t>技术服务</w:t>
            </w:r>
            <w:r w:rsidRPr="00C8571B">
              <w:rPr>
                <w:rFonts w:ascii="宋体" w:eastAsia="宋体" w:hAnsi="宋体" w:hint="eastAsia"/>
                <w:szCs w:val="21"/>
              </w:rPr>
              <w:t>进行综合评审，包含:</w:t>
            </w:r>
          </w:p>
          <w:p w14:paraId="19FB683F" w14:textId="57A4BD1D" w:rsid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C8571B">
              <w:rPr>
                <w:rFonts w:ascii="宋体" w:eastAsia="宋体" w:hAnsi="宋体" w:hint="eastAsia"/>
                <w:szCs w:val="21"/>
              </w:rPr>
              <w:t>（一）</w:t>
            </w:r>
            <w:r w:rsidR="00807307" w:rsidRPr="00C8571B">
              <w:rPr>
                <w:rFonts w:ascii="宋体" w:eastAsia="宋体" w:hAnsi="宋体" w:hint="eastAsia"/>
                <w:szCs w:val="21"/>
              </w:rPr>
              <w:t>检验</w:t>
            </w:r>
            <w:r w:rsidRPr="00C8571B">
              <w:rPr>
                <w:rFonts w:ascii="宋体" w:eastAsia="宋体" w:hAnsi="宋体" w:hint="eastAsia"/>
                <w:szCs w:val="21"/>
              </w:rPr>
              <w:t>方</w:t>
            </w:r>
            <w:r w:rsidRPr="002908D6">
              <w:rPr>
                <w:rFonts w:ascii="宋体" w:eastAsia="宋体" w:hAnsi="宋体" w:hint="eastAsia"/>
                <w:szCs w:val="21"/>
              </w:rPr>
              <w:t>案</w:t>
            </w:r>
            <w:r>
              <w:rPr>
                <w:rFonts w:ascii="宋体" w:eastAsia="宋体" w:hAnsi="宋体" w:hint="eastAsia"/>
                <w:szCs w:val="21"/>
              </w:rPr>
              <w:t>（本项最高1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分）</w:t>
            </w:r>
          </w:p>
          <w:p w14:paraId="7B569504" w14:textId="496A6F26" w:rsidR="002908D6" w:rsidRDefault="002908D6" w:rsidP="002B5A31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根据供应商针对本项目提供的</w:t>
            </w:r>
            <w:r w:rsidR="00807307">
              <w:rPr>
                <w:rFonts w:ascii="宋体" w:eastAsia="宋体" w:hAnsi="宋体" w:hint="eastAsia"/>
                <w:szCs w:val="21"/>
              </w:rPr>
              <w:t>检验检测</w:t>
            </w:r>
            <w:r w:rsidRPr="002908D6">
              <w:rPr>
                <w:rFonts w:ascii="宋体" w:eastAsia="宋体" w:hAnsi="宋体" w:hint="eastAsia"/>
                <w:szCs w:val="21"/>
              </w:rPr>
              <w:t>方案进行综合评审，方案包含</w:t>
            </w:r>
            <w:r w:rsidRPr="002908D6">
              <w:rPr>
                <w:rFonts w:ascii="宋体" w:eastAsia="宋体" w:hAnsi="宋体"/>
                <w:szCs w:val="21"/>
              </w:rPr>
              <w:t>:</w:t>
            </w:r>
          </w:p>
          <w:p w14:paraId="003CA49F" w14:textId="65F7D501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①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工作程序；</w:t>
            </w:r>
          </w:p>
          <w:p w14:paraId="3184182B" w14:textId="6FB36E89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②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的方法；</w:t>
            </w:r>
          </w:p>
          <w:p w14:paraId="339FEA23" w14:textId="51A4828B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③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手段、资料及分析报告的形成；</w:t>
            </w:r>
          </w:p>
          <w:p w14:paraId="18E611A4" w14:textId="77777777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④最终报告格式及内容；</w:t>
            </w:r>
          </w:p>
          <w:p w14:paraId="69F93260" w14:textId="0A4467B3" w:rsid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⑤项目的重点、难点分析及对策。</w:t>
            </w:r>
          </w:p>
          <w:p w14:paraId="7D4AFACA" w14:textId="123D1F17" w:rsidR="002908D6" w:rsidRDefault="00807307" w:rsidP="002B5A31">
            <w:pPr>
              <w:rPr>
                <w:rFonts w:ascii="宋体" w:eastAsia="宋体" w:hAnsi="宋体"/>
                <w:szCs w:val="21"/>
              </w:rPr>
            </w:pPr>
            <w:r w:rsidRPr="00807307">
              <w:rPr>
                <w:rFonts w:ascii="宋体" w:eastAsia="宋体" w:hAnsi="宋体" w:hint="eastAsia"/>
                <w:szCs w:val="21"/>
              </w:rPr>
              <w:t>完整提供以上内容的得</w:t>
            </w:r>
            <w:r w:rsidRPr="00807307">
              <w:rPr>
                <w:rFonts w:ascii="宋体" w:eastAsia="宋体" w:hAnsi="宋体"/>
                <w:szCs w:val="21"/>
              </w:rPr>
              <w:t>15分，每有一项缺失的扣3分，每有一处具有缺陷的扣1分，每项关于内容缺陷的最多扣3分，扣完为止。（缺陷是指：存在不适用该项目实际情况的情形、凭空编造、内容前后不一致、前后逻辑错误、涉及的规范及标准错误、地点区域错误、内容缺失、不符合采购需求等）。</w:t>
            </w:r>
          </w:p>
          <w:p w14:paraId="6C56AF87" w14:textId="3C0D7AE7" w:rsid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（二）</w:t>
            </w:r>
            <w:r w:rsidRPr="002908D6">
              <w:rPr>
                <w:rFonts w:ascii="宋体" w:eastAsia="宋体" w:hAnsi="宋体" w:hint="eastAsia"/>
                <w:szCs w:val="21"/>
              </w:rPr>
              <w:t>服务质量保障措施</w:t>
            </w:r>
            <w:r>
              <w:rPr>
                <w:rFonts w:ascii="宋体" w:eastAsia="宋体" w:hAnsi="宋体" w:hint="eastAsia"/>
                <w:szCs w:val="21"/>
              </w:rPr>
              <w:t>（本项最高</w:t>
            </w:r>
            <w:r>
              <w:rPr>
                <w:rFonts w:ascii="宋体" w:eastAsia="宋体" w:hAnsi="宋体"/>
                <w:szCs w:val="21"/>
              </w:rPr>
              <w:t>1</w:t>
            </w:r>
            <w:r w:rsidR="00AA7104"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 w:hint="eastAsia"/>
                <w:szCs w:val="21"/>
              </w:rPr>
              <w:t>分）</w:t>
            </w:r>
          </w:p>
          <w:p w14:paraId="0A136B9E" w14:textId="6342A671" w:rsid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根据供应商针对本项目提供的服务质量保障措施进行综合评审，措施包含：</w:t>
            </w:r>
          </w:p>
          <w:p w14:paraId="71B8036A" w14:textId="20C55226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①保证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质量的技术措施；</w:t>
            </w:r>
          </w:p>
          <w:p w14:paraId="3B67EEFF" w14:textId="72A5C033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②保证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进度的措施；</w:t>
            </w:r>
          </w:p>
          <w:p w14:paraId="1D487F49" w14:textId="4A498CCA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③</w:t>
            </w:r>
            <w:r w:rsidR="00807307">
              <w:rPr>
                <w:rFonts w:ascii="宋体" w:eastAsia="宋体" w:hAnsi="宋体" w:hint="eastAsia"/>
                <w:szCs w:val="21"/>
              </w:rPr>
              <w:t>检验</w:t>
            </w:r>
            <w:r w:rsidRPr="002908D6">
              <w:rPr>
                <w:rFonts w:ascii="宋体" w:eastAsia="宋体" w:hAnsi="宋体" w:hint="eastAsia"/>
                <w:szCs w:val="21"/>
              </w:rPr>
              <w:t>工作质量与服务保证措施；</w:t>
            </w:r>
          </w:p>
          <w:p w14:paraId="0147D469" w14:textId="77777777" w:rsidR="002908D6" w:rsidRP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④人员配置计划安排；</w:t>
            </w:r>
          </w:p>
          <w:p w14:paraId="5B8FA5B5" w14:textId="63E74E3C" w:rsidR="002908D6" w:rsidRDefault="002908D6" w:rsidP="002B5A31">
            <w:pPr>
              <w:rPr>
                <w:rFonts w:ascii="宋体" w:eastAsia="宋体" w:hAnsi="宋体"/>
                <w:szCs w:val="21"/>
              </w:rPr>
            </w:pPr>
            <w:r w:rsidRPr="002908D6">
              <w:rPr>
                <w:rFonts w:ascii="宋体" w:eastAsia="宋体" w:hAnsi="宋体" w:hint="eastAsia"/>
                <w:szCs w:val="21"/>
              </w:rPr>
              <w:t>⑤配合、协调工作计划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080DEFD2" w14:textId="4B3D4562" w:rsidR="00DF2BE6" w:rsidRPr="00AA7104" w:rsidRDefault="00807307" w:rsidP="002B5A31">
            <w:pPr>
              <w:rPr>
                <w:rFonts w:ascii="宋体" w:eastAsia="宋体" w:hAnsi="宋体"/>
                <w:szCs w:val="21"/>
              </w:rPr>
            </w:pPr>
            <w:r w:rsidRPr="00807307">
              <w:rPr>
                <w:rFonts w:ascii="宋体" w:eastAsia="宋体" w:hAnsi="宋体" w:hint="eastAsia"/>
                <w:szCs w:val="21"/>
              </w:rPr>
              <w:t>完整提供以上内容的得</w:t>
            </w:r>
            <w:r w:rsidR="00AA7104">
              <w:rPr>
                <w:rFonts w:ascii="宋体" w:eastAsia="宋体" w:hAnsi="宋体"/>
                <w:szCs w:val="21"/>
              </w:rPr>
              <w:t>15</w:t>
            </w:r>
            <w:r w:rsidRPr="00807307">
              <w:rPr>
                <w:rFonts w:ascii="宋体" w:eastAsia="宋体" w:hAnsi="宋体"/>
                <w:szCs w:val="21"/>
              </w:rPr>
              <w:t>分，每有一项缺失的扣</w:t>
            </w:r>
            <w:r w:rsidR="00AA7104">
              <w:rPr>
                <w:rFonts w:ascii="宋体" w:eastAsia="宋体" w:hAnsi="宋体"/>
                <w:szCs w:val="21"/>
              </w:rPr>
              <w:t>3</w:t>
            </w:r>
            <w:r w:rsidRPr="00807307">
              <w:rPr>
                <w:rFonts w:ascii="宋体" w:eastAsia="宋体" w:hAnsi="宋体"/>
                <w:szCs w:val="21"/>
              </w:rPr>
              <w:t>分，每有一处具有缺陷的扣1分，每项关于内容缺陷的最多扣2分，扣完为止。（缺陷是指：存在不适用该项目实际情况的情形、凭空编造、内容前后不一致、前后逻辑错误、涉及的规范及标准错误、地点区域错误、内容缺失、不符合采购需求等）。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05E3" w14:textId="77777777" w:rsidR="00DF2BE6" w:rsidRPr="00BE79C9" w:rsidRDefault="00DF2BE6" w:rsidP="002B5A31">
            <w:pPr>
              <w:adjustRightInd w:val="0"/>
              <w:snapToGrid w:val="0"/>
              <w:ind w:firstLineChars="200" w:firstLine="420"/>
              <w:rPr>
                <w:rFonts w:ascii="宋体" w:eastAsia="宋体" w:hAnsi="宋体" w:cs="宋体"/>
                <w:bCs/>
                <w:kern w:val="0"/>
                <w:szCs w:val="21"/>
              </w:rPr>
            </w:pPr>
          </w:p>
        </w:tc>
      </w:tr>
      <w:tr w:rsidR="00DF2BE6" w14:paraId="0112A47D" w14:textId="77777777" w:rsidTr="008F75DD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9461" w14:textId="069B116D" w:rsidR="00DF2BE6" w:rsidRPr="00767182" w:rsidRDefault="004A4DE3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18B0" w14:textId="31B9C510" w:rsidR="00DF2BE6" w:rsidRPr="00BE79C9" w:rsidRDefault="00114BBA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履约能力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A14C4" w14:textId="1B2CF84C" w:rsidR="00DF2BE6" w:rsidRPr="00BE79C9" w:rsidRDefault="00B176EB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3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0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B9492" w14:textId="7C5F727A" w:rsidR="00DF2BE6" w:rsidRPr="00BE79C9" w:rsidRDefault="00DF2BE6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供应商20</w:t>
            </w:r>
            <w:r w:rsidRPr="00BE79C9">
              <w:rPr>
                <w:rFonts w:ascii="宋体" w:eastAsia="宋体" w:hAnsi="宋体" w:cs="宋体"/>
                <w:bCs/>
                <w:kern w:val="0"/>
                <w:szCs w:val="21"/>
              </w:rPr>
              <w:t>2</w:t>
            </w:r>
            <w:r w:rsidR="00C448DD">
              <w:rPr>
                <w:rFonts w:ascii="宋体" w:eastAsia="宋体" w:hAnsi="宋体" w:cs="宋体"/>
                <w:bCs/>
                <w:kern w:val="0"/>
                <w:szCs w:val="21"/>
              </w:rPr>
              <w:t>1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年</w:t>
            </w:r>
            <w:r w:rsidRPr="00BE79C9">
              <w:rPr>
                <w:rFonts w:ascii="宋体" w:eastAsia="宋体" w:hAnsi="宋体" w:cs="宋体"/>
                <w:bCs/>
                <w:kern w:val="0"/>
                <w:szCs w:val="21"/>
              </w:rPr>
              <w:t>1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月1日（含）至递交响应文件截止</w:t>
            </w:r>
            <w:proofErr w:type="gramStart"/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日具备</w:t>
            </w:r>
            <w:proofErr w:type="gramEnd"/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1个新承接或正在实施或已完成的类似</w:t>
            </w:r>
            <w:r w:rsidR="00114BBA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粘滞阻尼器检验检测项目业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绩得3分，本项最高得</w:t>
            </w:r>
            <w:r w:rsidR="00BE79C9">
              <w:rPr>
                <w:rFonts w:ascii="宋体" w:eastAsia="宋体" w:hAnsi="宋体" w:cs="宋体"/>
                <w:bCs/>
                <w:kern w:val="0"/>
                <w:szCs w:val="21"/>
              </w:rPr>
              <w:t>30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分。</w:t>
            </w:r>
          </w:p>
          <w:p w14:paraId="461F780F" w14:textId="77777777" w:rsidR="00DF2BE6" w:rsidRPr="00BE79C9" w:rsidRDefault="00DF2BE6" w:rsidP="002B5A31">
            <w:pPr>
              <w:adjustRightInd w:val="0"/>
              <w:snapToGrid w:val="0"/>
              <w:rPr>
                <w:rFonts w:ascii="宋体" w:eastAsia="宋体" w:hAnsi="宋体"/>
                <w:szCs w:val="24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注：“已完成的类似项目”证明材料为合同协议书，业绩时间以合同协议书的时间为准。“正在实施和新承接的项目”证明材料为合同协议书，业绩时间以合同协议书签订时间</w:t>
            </w: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为准。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DBB2E" w14:textId="77777777" w:rsidR="00DF2BE6" w:rsidRPr="00BE79C9" w:rsidRDefault="00DF2BE6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lastRenderedPageBreak/>
              <w:t>提供合同和批复复印件并加盖供应商单位公章</w:t>
            </w:r>
          </w:p>
        </w:tc>
      </w:tr>
      <w:tr w:rsidR="00DF2BE6" w14:paraId="6B9AFCA1" w14:textId="77777777" w:rsidTr="008F75DD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FB8B" w14:textId="1C901BFA" w:rsidR="00DF2BE6" w:rsidRPr="00767182" w:rsidRDefault="004A4DE3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DCD1" w14:textId="26BB73F2" w:rsidR="00DF2BE6" w:rsidRPr="00BE79C9" w:rsidRDefault="00486998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486998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拟投入本项目的人员配置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5EA49" w14:textId="435F0D4D" w:rsidR="00DF2BE6" w:rsidRPr="00BE79C9" w:rsidRDefault="00AA7104" w:rsidP="002B5A31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Cs/>
                <w:kern w:val="0"/>
                <w:szCs w:val="21"/>
              </w:rPr>
              <w:t>20</w:t>
            </w:r>
          </w:p>
        </w:tc>
        <w:tc>
          <w:tcPr>
            <w:tcW w:w="5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1BDBC" w14:textId="575E8473" w:rsidR="00064DA7" w:rsidRPr="00064DA7" w:rsidRDefault="00064DA7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1、项目负责人（满分</w:t>
            </w:r>
            <w:r w:rsidR="00AA7104">
              <w:rPr>
                <w:rFonts w:ascii="宋体" w:eastAsia="宋体" w:hAnsi="宋体" w:cs="宋体"/>
                <w:bCs/>
                <w:kern w:val="0"/>
                <w:szCs w:val="21"/>
              </w:rPr>
              <w:t>8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分）</w:t>
            </w:r>
          </w:p>
          <w:p w14:paraId="1278D008" w14:textId="22326961" w:rsidR="00064DA7" w:rsidRPr="00064DA7" w:rsidRDefault="00064DA7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①具有注册结构工程师得</w:t>
            </w:r>
            <w:r w:rsidR="00AA7104">
              <w:rPr>
                <w:rFonts w:ascii="宋体" w:eastAsia="宋体" w:hAnsi="宋体" w:cs="宋体"/>
                <w:bCs/>
                <w:kern w:val="0"/>
                <w:szCs w:val="21"/>
              </w:rPr>
              <w:t>4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分。</w:t>
            </w:r>
          </w:p>
          <w:p w14:paraId="3FD18AC3" w14:textId="68EBA5AF" w:rsidR="00064DA7" w:rsidRPr="00064DA7" w:rsidRDefault="00064DA7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②具有建筑工程类专业中级技术职称的得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2分; 具有建筑工程类专业高级技术职称的得</w:t>
            </w:r>
            <w:r w:rsidR="00AA7104">
              <w:rPr>
                <w:rFonts w:ascii="宋体" w:eastAsia="宋体" w:hAnsi="宋体" w:cs="宋体"/>
                <w:bCs/>
                <w:kern w:val="0"/>
                <w:szCs w:val="21"/>
              </w:rPr>
              <w:t>4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分。本项最高得</w:t>
            </w:r>
            <w:r w:rsidR="00AA7104">
              <w:rPr>
                <w:rFonts w:ascii="宋体" w:eastAsia="宋体" w:hAnsi="宋体" w:cs="宋体"/>
                <w:bCs/>
                <w:kern w:val="0"/>
                <w:szCs w:val="21"/>
              </w:rPr>
              <w:t>8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分。</w:t>
            </w:r>
          </w:p>
          <w:p w14:paraId="64C53C18" w14:textId="0EEF9D77" w:rsidR="00064DA7" w:rsidRPr="00064DA7" w:rsidRDefault="00064DA7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2、检测工程师（满分</w:t>
            </w:r>
            <w:r w:rsidR="00060740">
              <w:rPr>
                <w:rFonts w:ascii="宋体" w:eastAsia="宋体" w:hAnsi="宋体" w:cs="宋体"/>
                <w:bCs/>
                <w:kern w:val="0"/>
                <w:szCs w:val="21"/>
              </w:rPr>
              <w:t>12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分）</w:t>
            </w:r>
          </w:p>
          <w:p w14:paraId="7D9F5C13" w14:textId="05001D3C" w:rsidR="00064DA7" w:rsidRPr="00064DA7" w:rsidRDefault="00064DA7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具有工程类相关专业中级职称，每人得</w:t>
            </w:r>
            <w:r w:rsidR="009C1CD4">
              <w:rPr>
                <w:rFonts w:ascii="宋体" w:eastAsia="宋体" w:hAnsi="宋体" w:cs="宋体"/>
                <w:bCs/>
                <w:kern w:val="0"/>
                <w:szCs w:val="21"/>
              </w:rPr>
              <w:t>2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分（所有中级职称最高不得超过</w:t>
            </w:r>
            <w:r w:rsidR="003A68AE">
              <w:rPr>
                <w:rFonts w:ascii="宋体" w:eastAsia="宋体" w:hAnsi="宋体" w:cs="宋体"/>
                <w:bCs/>
                <w:kern w:val="0"/>
                <w:szCs w:val="21"/>
              </w:rPr>
              <w:t>6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分），具有工程类相关专业高级职称，每人得</w:t>
            </w:r>
            <w:r w:rsidR="00060740">
              <w:rPr>
                <w:rFonts w:ascii="宋体" w:eastAsia="宋体" w:hAnsi="宋体" w:cs="宋体"/>
                <w:bCs/>
                <w:kern w:val="0"/>
                <w:szCs w:val="21"/>
              </w:rPr>
              <w:t>3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</w:t>
            </w:r>
            <w:r w:rsidR="00486998">
              <w:rPr>
                <w:rFonts w:ascii="宋体" w:eastAsia="宋体" w:hAnsi="宋体" w:cs="宋体" w:hint="eastAsia"/>
                <w:bCs/>
                <w:kern w:val="0"/>
                <w:szCs w:val="21"/>
              </w:rPr>
              <w:t>。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本项最高得分</w:t>
            </w:r>
            <w:r w:rsidR="00060740">
              <w:rPr>
                <w:rFonts w:ascii="宋体" w:eastAsia="宋体" w:hAnsi="宋体" w:cs="宋体"/>
                <w:bCs/>
                <w:kern w:val="0"/>
                <w:szCs w:val="21"/>
              </w:rPr>
              <w:t>12</w:t>
            </w:r>
            <w:r w:rsidRPr="00064DA7">
              <w:rPr>
                <w:rFonts w:ascii="宋体" w:eastAsia="宋体" w:hAnsi="宋体" w:cs="宋体"/>
                <w:bCs/>
                <w:kern w:val="0"/>
                <w:szCs w:val="21"/>
              </w:rPr>
              <w:t>分</w:t>
            </w:r>
            <w:r w:rsidR="009C1CD4">
              <w:rPr>
                <w:rFonts w:ascii="宋体" w:eastAsia="宋体" w:hAnsi="宋体" w:cs="宋体" w:hint="eastAsia"/>
                <w:bCs/>
                <w:kern w:val="0"/>
                <w:szCs w:val="21"/>
              </w:rPr>
              <w:t>。</w:t>
            </w:r>
          </w:p>
          <w:p w14:paraId="0B3EE8BD" w14:textId="659C52AA" w:rsidR="00DF2BE6" w:rsidRPr="00BE79C9" w:rsidRDefault="00064DA7" w:rsidP="002B5A31">
            <w:pPr>
              <w:adjustRightInd w:val="0"/>
              <w:snapToGrid w:val="0"/>
              <w:ind w:firstLineChars="200" w:firstLine="420"/>
              <w:rPr>
                <w:rFonts w:ascii="宋体" w:eastAsia="宋体" w:hAnsi="宋体"/>
                <w:szCs w:val="24"/>
              </w:rPr>
            </w:pPr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注：同</w:t>
            </w:r>
            <w:proofErr w:type="gramStart"/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一人员</w:t>
            </w:r>
            <w:proofErr w:type="gramEnd"/>
            <w:r w:rsidRPr="00064DA7"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不重复计分；提供以上人员相关资格证书复印件，注册证书需注册在本单位；提供拟投入人员与供应商之间的劳务关系证明材料；以上证明材料需加盖供应商公章，否则相应得分项不得分。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4141" w14:textId="77777777" w:rsidR="00DF2BE6" w:rsidRPr="00BE79C9" w:rsidRDefault="00DF2BE6" w:rsidP="002B5A31">
            <w:pPr>
              <w:adjustRightInd w:val="0"/>
              <w:snapToGrid w:val="0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BE79C9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提供相关证书复印件并加盖供应商单位公章；所要求的注册证书（如有）均需在本单位注册；注册证书（如有）及专业以主管部门网上查询的截图为准，否则不予计分。</w:t>
            </w:r>
          </w:p>
        </w:tc>
      </w:tr>
    </w:tbl>
    <w:p w14:paraId="673C959A" w14:textId="2A33DBDD" w:rsidR="00DF2BE6" w:rsidRPr="00DF2BE6" w:rsidRDefault="00DF2BE6" w:rsidP="002B5A31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DF2BE6" w:rsidRPr="00DF2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25485" w14:textId="77777777" w:rsidR="0076639B" w:rsidRDefault="0076639B" w:rsidP="003878FE">
      <w:r>
        <w:separator/>
      </w:r>
    </w:p>
  </w:endnote>
  <w:endnote w:type="continuationSeparator" w:id="0">
    <w:p w14:paraId="78AF5DA9" w14:textId="77777777" w:rsidR="0076639B" w:rsidRDefault="0076639B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BF130" w14:textId="77777777" w:rsidR="0076639B" w:rsidRDefault="0076639B" w:rsidP="003878FE">
      <w:r>
        <w:separator/>
      </w:r>
    </w:p>
  </w:footnote>
  <w:footnote w:type="continuationSeparator" w:id="0">
    <w:p w14:paraId="26E8863A" w14:textId="77777777" w:rsidR="0076639B" w:rsidRDefault="0076639B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39B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B35F6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2024-09-04T08:05:00Z</dcterms:modified>
</cp:coreProperties>
</file>