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6DFF6" w14:textId="1149B144" w:rsidR="006B5F6F" w:rsidRDefault="006B5F6F" w:rsidP="006B5F6F">
      <w:pPr>
        <w:pStyle w:val="1"/>
        <w:spacing w:before="0" w:after="0" w:line="240" w:lineRule="auto"/>
        <w:jc w:val="center"/>
        <w:rPr>
          <w:rFonts w:ascii="方正小标宋简体" w:eastAsia="方正小标宋简体" w:hAnsi="方正小标宋简体" w:cs="方正小标宋简体" w:hint="eastAsia"/>
        </w:rPr>
      </w:pPr>
      <w:r>
        <w:rPr>
          <w:rFonts w:ascii="方正小标宋简体" w:eastAsia="方正小标宋简体" w:hAnsi="方正小标宋简体" w:cs="方正小标宋简体" w:hint="eastAsia"/>
        </w:rPr>
        <w:t>财务系统</w:t>
      </w:r>
      <w:r w:rsidR="00114346">
        <w:rPr>
          <w:rFonts w:ascii="方正小标宋简体" w:eastAsia="方正小标宋简体" w:hAnsi="方正小标宋简体" w:cs="方正小标宋简体" w:hint="eastAsia"/>
        </w:rPr>
        <w:t>相关</w:t>
      </w:r>
      <w:r>
        <w:rPr>
          <w:rFonts w:ascii="方正小标宋简体" w:eastAsia="方正小标宋简体" w:hAnsi="方正小标宋简体" w:cs="方正小标宋简体" w:hint="eastAsia"/>
        </w:rPr>
        <w:t>接口招标参数</w:t>
      </w:r>
    </w:p>
    <w:p w14:paraId="435BDC80" w14:textId="3D1D8123" w:rsidR="006B5F6F" w:rsidRDefault="006B5F6F">
      <w:pPr>
        <w:ind w:firstLineChars="200" w:firstLine="643"/>
        <w:rPr>
          <w:rFonts w:ascii="仿宋_GB2312" w:eastAsia="仿宋_GB2312" w:hAnsi="仿宋_GB2312" w:cs="仿宋_GB2312" w:hint="eastAsia"/>
          <w:b/>
          <w:sz w:val="32"/>
          <w:szCs w:val="32"/>
        </w:rPr>
      </w:pPr>
      <w:r w:rsidRPr="006B5F6F">
        <w:rPr>
          <w:rFonts w:ascii="仿宋_GB2312" w:eastAsia="仿宋_GB2312" w:hAnsi="仿宋_GB2312" w:cs="仿宋_GB2312" w:hint="eastAsia"/>
          <w:b/>
          <w:sz w:val="32"/>
          <w:szCs w:val="32"/>
        </w:rPr>
        <w:t>前提：</w:t>
      </w:r>
      <w:r w:rsidRPr="006B5F6F">
        <w:rPr>
          <w:rFonts w:ascii="仿宋_GB2312" w:eastAsia="仿宋_GB2312" w:hAnsi="仿宋_GB2312" w:cs="仿宋_GB2312"/>
          <w:b/>
          <w:sz w:val="32"/>
          <w:szCs w:val="32"/>
        </w:rPr>
        <w:t>本章采购需求中标注“</w:t>
      </w:r>
      <w:r w:rsidRPr="006B5F6F">
        <w:rPr>
          <w:rFonts w:ascii="仿宋_GB2312" w:eastAsia="仿宋_GB2312" w:hAnsi="仿宋_GB2312" w:cs="仿宋_GB2312" w:hint="eastAsia"/>
          <w:b/>
          <w:sz w:val="32"/>
          <w:szCs w:val="32"/>
        </w:rPr>
        <w:t>★</w:t>
      </w:r>
      <w:r w:rsidRPr="006B5F6F">
        <w:rPr>
          <w:rFonts w:ascii="仿宋_GB2312" w:eastAsia="仿宋_GB2312" w:hAnsi="仿宋_GB2312" w:cs="仿宋_GB2312"/>
          <w:b/>
          <w:sz w:val="32"/>
          <w:szCs w:val="32"/>
        </w:rPr>
        <w:t>”号的条款为本次磋商采购项目的实质性要求，供应商应全部满足。</w:t>
      </w:r>
    </w:p>
    <w:p w14:paraId="4C8E42E7" w14:textId="77777777" w:rsidR="006B5F6F" w:rsidRDefault="006B5F6F" w:rsidP="006B5F6F">
      <w:pPr>
        <w:keepNext/>
        <w:keepLines/>
        <w:numPr>
          <w:ilvl w:val="0"/>
          <w:numId w:val="1"/>
        </w:numPr>
        <w:ind w:firstLineChars="200" w:firstLine="643"/>
        <w:outlineLvl w:val="1"/>
        <w:rPr>
          <w:rFonts w:ascii="黑体" w:eastAsia="黑体" w:hAnsi="黑体" w:cs="黑体" w:hint="eastAsia"/>
          <w:b/>
          <w:bCs/>
          <w:sz w:val="32"/>
          <w:szCs w:val="32"/>
        </w:rPr>
      </w:pPr>
      <w:r>
        <w:rPr>
          <w:rFonts w:ascii="黑体" w:eastAsia="黑体" w:hAnsi="黑体" w:cs="黑体" w:hint="eastAsia"/>
          <w:b/>
          <w:bCs/>
          <w:sz w:val="32"/>
          <w:szCs w:val="32"/>
        </w:rPr>
        <w:t>采购清单及限价</w:t>
      </w:r>
    </w:p>
    <w:tbl>
      <w:tblPr>
        <w:tblW w:w="51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92"/>
        <w:gridCol w:w="696"/>
        <w:gridCol w:w="1039"/>
        <w:gridCol w:w="1541"/>
        <w:gridCol w:w="1761"/>
        <w:gridCol w:w="1503"/>
      </w:tblGrid>
      <w:tr w:rsidR="006B5F6F" w14:paraId="65F6E287" w14:textId="77777777" w:rsidTr="00946892">
        <w:trPr>
          <w:trHeight w:val="510"/>
          <w:jc w:val="center"/>
        </w:trPr>
        <w:tc>
          <w:tcPr>
            <w:tcW w:w="1167" w:type="pct"/>
            <w:noWrap/>
            <w:tcMar>
              <w:top w:w="15" w:type="dxa"/>
              <w:left w:w="15" w:type="dxa"/>
              <w:right w:w="15" w:type="dxa"/>
            </w:tcMar>
            <w:vAlign w:val="center"/>
          </w:tcPr>
          <w:p w14:paraId="08A9676C" w14:textId="77777777" w:rsidR="006B5F6F" w:rsidRDefault="006B5F6F" w:rsidP="00AE4DCF">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标的名称</w:t>
            </w:r>
          </w:p>
        </w:tc>
        <w:tc>
          <w:tcPr>
            <w:tcW w:w="408" w:type="pct"/>
            <w:noWrap/>
            <w:tcMar>
              <w:top w:w="15" w:type="dxa"/>
              <w:left w:w="15" w:type="dxa"/>
              <w:right w:w="15" w:type="dxa"/>
            </w:tcMar>
            <w:vAlign w:val="center"/>
          </w:tcPr>
          <w:p w14:paraId="65F142FE" w14:textId="77777777" w:rsidR="006B5F6F" w:rsidRDefault="006B5F6F" w:rsidP="00AE4DCF">
            <w:pPr>
              <w:jc w:val="center"/>
              <w:textAlignment w:val="center"/>
              <w:rPr>
                <w:rFonts w:ascii="仿宋_GB2312" w:eastAsia="仿宋_GB2312" w:hAnsi="仿宋_GB2312" w:cs="仿宋_GB2312" w:hint="eastAsia"/>
                <w:b/>
                <w:bCs/>
                <w:color w:val="000000"/>
                <w:sz w:val="24"/>
              </w:rPr>
            </w:pPr>
            <w:r>
              <w:rPr>
                <w:rFonts w:ascii="仿宋_GB2312" w:eastAsia="仿宋_GB2312" w:hAnsi="仿宋_GB2312" w:cs="仿宋_GB2312" w:hint="eastAsia"/>
                <w:b/>
                <w:bCs/>
                <w:color w:val="000000"/>
                <w:sz w:val="24"/>
                <w:lang w:bidi="ar"/>
              </w:rPr>
              <w:t>数量</w:t>
            </w:r>
          </w:p>
        </w:tc>
        <w:tc>
          <w:tcPr>
            <w:tcW w:w="609" w:type="pct"/>
            <w:noWrap/>
            <w:tcMar>
              <w:top w:w="15" w:type="dxa"/>
              <w:left w:w="15" w:type="dxa"/>
              <w:right w:w="15" w:type="dxa"/>
            </w:tcMar>
            <w:vAlign w:val="center"/>
          </w:tcPr>
          <w:p w14:paraId="73A40348" w14:textId="77777777" w:rsidR="006B5F6F" w:rsidRDefault="006B5F6F" w:rsidP="00AE4DCF">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单位</w:t>
            </w:r>
          </w:p>
        </w:tc>
        <w:tc>
          <w:tcPr>
            <w:tcW w:w="903" w:type="pct"/>
            <w:vAlign w:val="center"/>
          </w:tcPr>
          <w:p w14:paraId="761EC868" w14:textId="77777777" w:rsidR="006B5F6F" w:rsidRDefault="006B5F6F" w:rsidP="00AE4DCF">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项目预算</w:t>
            </w:r>
          </w:p>
        </w:tc>
        <w:tc>
          <w:tcPr>
            <w:tcW w:w="1032" w:type="pct"/>
            <w:vAlign w:val="center"/>
          </w:tcPr>
          <w:p w14:paraId="15FB2350" w14:textId="77777777" w:rsidR="006B5F6F" w:rsidRDefault="006B5F6F" w:rsidP="00AE4DCF">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最高限价</w:t>
            </w:r>
          </w:p>
        </w:tc>
        <w:tc>
          <w:tcPr>
            <w:tcW w:w="881" w:type="pct"/>
            <w:vAlign w:val="center"/>
          </w:tcPr>
          <w:p w14:paraId="5E866C55" w14:textId="77777777" w:rsidR="006B5F6F" w:rsidRDefault="006B5F6F" w:rsidP="00AE4DCF">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备注</w:t>
            </w:r>
          </w:p>
        </w:tc>
      </w:tr>
      <w:tr w:rsidR="006B5F6F" w14:paraId="1421C547" w14:textId="77777777" w:rsidTr="00946892">
        <w:trPr>
          <w:trHeight w:val="528"/>
          <w:jc w:val="center"/>
        </w:trPr>
        <w:tc>
          <w:tcPr>
            <w:tcW w:w="1167" w:type="pct"/>
            <w:noWrap/>
            <w:tcMar>
              <w:top w:w="15" w:type="dxa"/>
              <w:left w:w="15" w:type="dxa"/>
              <w:right w:w="15" w:type="dxa"/>
            </w:tcMar>
            <w:vAlign w:val="center"/>
          </w:tcPr>
          <w:p w14:paraId="4B5D333A" w14:textId="532230CE" w:rsidR="006B5F6F" w:rsidRDefault="00946892" w:rsidP="00AE4DCF">
            <w:pPr>
              <w:jc w:val="center"/>
              <w:rPr>
                <w:rFonts w:ascii="仿宋_GB2312" w:eastAsia="仿宋_GB2312" w:hAnsi="仿宋_GB2312" w:cs="仿宋_GB2312" w:hint="eastAsia"/>
                <w:color w:val="000000"/>
                <w:sz w:val="24"/>
              </w:rPr>
            </w:pPr>
            <w:r w:rsidRPr="00946892">
              <w:rPr>
                <w:rFonts w:ascii="仿宋_GB2312" w:eastAsia="仿宋_GB2312" w:hAnsi="仿宋_GB2312" w:cs="仿宋_GB2312" w:hint="eastAsia"/>
                <w:color w:val="000000"/>
                <w:sz w:val="24"/>
              </w:rPr>
              <w:t>财务系统</w:t>
            </w:r>
            <w:r w:rsidR="00114346">
              <w:rPr>
                <w:rFonts w:ascii="仿宋_GB2312" w:eastAsia="仿宋_GB2312" w:hAnsi="仿宋_GB2312" w:cs="仿宋_GB2312" w:hint="eastAsia"/>
                <w:color w:val="000000"/>
                <w:sz w:val="24"/>
              </w:rPr>
              <w:t>相关</w:t>
            </w:r>
            <w:r w:rsidRPr="00946892">
              <w:rPr>
                <w:rFonts w:ascii="仿宋_GB2312" w:eastAsia="仿宋_GB2312" w:hAnsi="仿宋_GB2312" w:cs="仿宋_GB2312" w:hint="eastAsia"/>
                <w:color w:val="000000"/>
                <w:sz w:val="24"/>
              </w:rPr>
              <w:t>接口</w:t>
            </w:r>
          </w:p>
        </w:tc>
        <w:tc>
          <w:tcPr>
            <w:tcW w:w="408" w:type="pct"/>
            <w:tcMar>
              <w:top w:w="15" w:type="dxa"/>
              <w:left w:w="15" w:type="dxa"/>
              <w:right w:w="15" w:type="dxa"/>
            </w:tcMar>
            <w:vAlign w:val="center"/>
          </w:tcPr>
          <w:p w14:paraId="51831E46" w14:textId="0F020B11" w:rsidR="006B5F6F" w:rsidRDefault="00946892" w:rsidP="00AE4DCF">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1</w:t>
            </w:r>
          </w:p>
        </w:tc>
        <w:tc>
          <w:tcPr>
            <w:tcW w:w="609" w:type="pct"/>
            <w:tcMar>
              <w:top w:w="15" w:type="dxa"/>
              <w:left w:w="15" w:type="dxa"/>
              <w:right w:w="15" w:type="dxa"/>
            </w:tcMar>
            <w:vAlign w:val="center"/>
          </w:tcPr>
          <w:p w14:paraId="2E2D33FB" w14:textId="5D5D2A6D" w:rsidR="006B5F6F" w:rsidRDefault="00946892" w:rsidP="00AE4DCF">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套</w:t>
            </w:r>
          </w:p>
        </w:tc>
        <w:tc>
          <w:tcPr>
            <w:tcW w:w="903" w:type="pct"/>
            <w:vAlign w:val="center"/>
          </w:tcPr>
          <w:p w14:paraId="172FE1C7" w14:textId="5129BF07" w:rsidR="006B5F6F" w:rsidRDefault="00946892" w:rsidP="00AE4DCF">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15万元</w:t>
            </w:r>
          </w:p>
        </w:tc>
        <w:tc>
          <w:tcPr>
            <w:tcW w:w="1032" w:type="pct"/>
            <w:vAlign w:val="center"/>
          </w:tcPr>
          <w:p w14:paraId="22F54E9C" w14:textId="690606AE" w:rsidR="006B5F6F" w:rsidRDefault="00946892" w:rsidP="00AE4DCF">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15万元</w:t>
            </w:r>
          </w:p>
        </w:tc>
        <w:tc>
          <w:tcPr>
            <w:tcW w:w="881" w:type="pct"/>
            <w:vAlign w:val="center"/>
          </w:tcPr>
          <w:p w14:paraId="37D57CCE" w14:textId="0241F7D6" w:rsidR="006B5F6F" w:rsidRDefault="00946892" w:rsidP="00AE4DCF">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无</w:t>
            </w:r>
          </w:p>
        </w:tc>
      </w:tr>
    </w:tbl>
    <w:p w14:paraId="66706B40" w14:textId="24415592" w:rsidR="006B5F6F" w:rsidRPr="006B5F6F" w:rsidRDefault="00946892" w:rsidP="006B5F6F">
      <w:pPr>
        <w:keepNext/>
        <w:keepLines/>
        <w:numPr>
          <w:ilvl w:val="0"/>
          <w:numId w:val="1"/>
        </w:numPr>
        <w:ind w:firstLineChars="200" w:firstLine="643"/>
        <w:outlineLvl w:val="1"/>
        <w:rPr>
          <w:rFonts w:ascii="黑体" w:eastAsia="黑体" w:hAnsi="黑体" w:cs="黑体" w:hint="eastAsia"/>
          <w:b/>
          <w:bCs/>
          <w:sz w:val="32"/>
          <w:szCs w:val="32"/>
        </w:rPr>
      </w:pPr>
      <w:r w:rsidRPr="006B5F6F">
        <w:rPr>
          <w:rFonts w:ascii="仿宋_GB2312" w:eastAsia="仿宋_GB2312" w:hAnsi="仿宋_GB2312" w:cs="仿宋_GB2312" w:hint="eastAsia"/>
          <w:b/>
          <w:sz w:val="32"/>
          <w:szCs w:val="32"/>
        </w:rPr>
        <w:t>★</w:t>
      </w:r>
      <w:r w:rsidR="006B5F6F" w:rsidRPr="006B5F6F">
        <w:rPr>
          <w:rFonts w:ascii="黑体" w:eastAsia="黑体" w:hAnsi="黑体" w:cs="黑体" w:hint="eastAsia"/>
          <w:b/>
          <w:bCs/>
          <w:sz w:val="32"/>
          <w:szCs w:val="32"/>
        </w:rPr>
        <w:t>功能要求</w:t>
      </w:r>
    </w:p>
    <w:p w14:paraId="3661F6A0" w14:textId="21D9E182" w:rsidR="00FE0712" w:rsidRDefault="00261C8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w:t>
      </w:r>
      <w:r w:rsidR="00AB2766">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OA推送合同信息到财务系统：由OA系统提供接口，财务系统通过接口接</w:t>
      </w:r>
      <w:r w:rsidR="00B20635">
        <w:rPr>
          <w:rFonts w:ascii="仿宋_GB2312" w:eastAsia="仿宋_GB2312" w:hAnsi="仿宋_GB2312" w:cs="仿宋_GB2312" w:hint="eastAsia"/>
          <w:sz w:val="32"/>
          <w:szCs w:val="32"/>
        </w:rPr>
        <w:t>收</w:t>
      </w:r>
      <w:r>
        <w:rPr>
          <w:rFonts w:ascii="仿宋_GB2312" w:eastAsia="仿宋_GB2312" w:hAnsi="仿宋_GB2312" w:cs="仿宋_GB2312" w:hint="eastAsia"/>
          <w:sz w:val="32"/>
          <w:szCs w:val="32"/>
        </w:rPr>
        <w:t>合同编号、合同名称、合同金额、甲乙方单位、附件（合同原件、OA审批流程、中标通知书）等字段信息，在财务系统中自动生成合同台账，便于相关合同管理。</w:t>
      </w:r>
    </w:p>
    <w:p w14:paraId="673F1B69" w14:textId="35105761" w:rsidR="00FE0712" w:rsidRDefault="00261C8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w:t>
      </w:r>
      <w:r w:rsidR="00AB2766">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OA系统实现单点登录：由OA系统提供接口，财务系统通过接口进行单点集成，实现从OA系统点开财务系统及待办数据时自动登录。</w:t>
      </w:r>
    </w:p>
    <w:p w14:paraId="1EEE3DC3" w14:textId="25B04EDD" w:rsidR="00FE0712" w:rsidRDefault="00261C86" w:rsidP="00AB276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w:t>
      </w:r>
      <w:r w:rsidR="00AB2766">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OA上推送财务信息系统待办、已办信息：由OA系统提供接口，财务系统通过接口集成待办，实现在OA系统中推送财务系统待办的功能，在OA中财务系统待办显示效果需有单独的财务待办、已办页签（类似于现OA系统待办推送样式）。</w:t>
      </w:r>
    </w:p>
    <w:p w14:paraId="7FF30992" w14:textId="3FCBDC7B" w:rsidR="00AB2766" w:rsidRDefault="00261C86" w:rsidP="00AB276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w:t>
      </w:r>
      <w:r w:rsidR="00AB2766">
        <w:rPr>
          <w:rFonts w:ascii="仿宋_GB2312" w:eastAsia="仿宋_GB2312" w:hAnsi="仿宋_GB2312" w:cs="仿宋_GB2312" w:hint="eastAsia"/>
          <w:sz w:val="32"/>
          <w:szCs w:val="32"/>
        </w:rPr>
        <w:t>、</w:t>
      </w:r>
      <w:r w:rsidR="00AB2766" w:rsidRPr="00AB2766">
        <w:rPr>
          <w:rFonts w:ascii="仿宋_GB2312" w:eastAsia="仿宋_GB2312" w:hAnsi="仿宋_GB2312" w:cs="仿宋_GB2312" w:hint="eastAsia"/>
          <w:sz w:val="32"/>
          <w:szCs w:val="32"/>
        </w:rPr>
        <w:t>表单上带出预算信息：预算代码+金额+资金类型。（存在一个合同对应多个预算，预算信息为明细表）</w:t>
      </w:r>
    </w:p>
    <w:p w14:paraId="7E6AF35B" w14:textId="547663B3" w:rsidR="00AB2766" w:rsidRDefault="00261C86" w:rsidP="00AB276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5</w:t>
      </w:r>
      <w:r w:rsidR="00AB2766">
        <w:rPr>
          <w:rFonts w:ascii="仿宋_GB2312" w:eastAsia="仿宋_GB2312" w:hAnsi="仿宋_GB2312" w:cs="仿宋_GB2312" w:hint="eastAsia"/>
          <w:sz w:val="32"/>
          <w:szCs w:val="32"/>
        </w:rPr>
        <w:t>、</w:t>
      </w:r>
      <w:r w:rsidR="00AB2766" w:rsidRPr="00AB2766">
        <w:rPr>
          <w:rFonts w:ascii="仿宋_GB2312" w:eastAsia="仿宋_GB2312" w:hAnsi="仿宋_GB2312" w:cs="仿宋_GB2312" w:hint="eastAsia"/>
          <w:sz w:val="32"/>
          <w:szCs w:val="32"/>
        </w:rPr>
        <w:t>财务系统提供接口及文档，并配合HIS系统对接，支持药品报销相关账目等信息传输。</w:t>
      </w:r>
    </w:p>
    <w:p w14:paraId="7AE619A1" w14:textId="797C888B" w:rsidR="006B5F6F" w:rsidRPr="006B5F6F" w:rsidRDefault="00946892" w:rsidP="006B5F6F">
      <w:pPr>
        <w:keepNext/>
        <w:keepLines/>
        <w:numPr>
          <w:ilvl w:val="0"/>
          <w:numId w:val="1"/>
        </w:numPr>
        <w:ind w:firstLineChars="200" w:firstLine="643"/>
        <w:outlineLvl w:val="1"/>
        <w:rPr>
          <w:rFonts w:ascii="黑体" w:eastAsia="黑体" w:hAnsi="黑体" w:cs="黑体" w:hint="eastAsia"/>
          <w:b/>
          <w:bCs/>
          <w:sz w:val="32"/>
          <w:szCs w:val="32"/>
        </w:rPr>
      </w:pPr>
      <w:r w:rsidRPr="006B5F6F">
        <w:rPr>
          <w:rFonts w:ascii="仿宋_GB2312" w:eastAsia="仿宋_GB2312" w:hAnsi="仿宋_GB2312" w:cs="仿宋_GB2312" w:hint="eastAsia"/>
          <w:b/>
          <w:sz w:val="32"/>
          <w:szCs w:val="32"/>
        </w:rPr>
        <w:t>★</w:t>
      </w:r>
      <w:r w:rsidR="006B5F6F" w:rsidRPr="006B5F6F">
        <w:rPr>
          <w:rFonts w:ascii="黑体" w:eastAsia="黑体" w:hAnsi="黑体" w:cs="黑体" w:hint="eastAsia"/>
          <w:b/>
          <w:bCs/>
          <w:sz w:val="32"/>
          <w:szCs w:val="32"/>
        </w:rPr>
        <w:t>商务要求</w:t>
      </w:r>
    </w:p>
    <w:p w14:paraId="0B0FCA52" w14:textId="55D1B583" w:rsidR="005E2667" w:rsidRPr="005E2667" w:rsidRDefault="006B5F6F" w:rsidP="005E2667">
      <w:pPr>
        <w:widowControl/>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w:t>
      </w:r>
      <w:r w:rsidR="0005499B">
        <w:rPr>
          <w:rFonts w:ascii="仿宋_GB2312" w:eastAsia="仿宋_GB2312" w:hAnsi="仿宋_GB2312" w:cs="仿宋_GB2312" w:hint="eastAsia"/>
          <w:sz w:val="32"/>
          <w:szCs w:val="32"/>
        </w:rPr>
        <w:t>项目交付</w:t>
      </w:r>
      <w:r w:rsidR="005E2667" w:rsidRPr="005E2667">
        <w:rPr>
          <w:rFonts w:ascii="仿宋_GB2312" w:eastAsia="仿宋_GB2312" w:hAnsi="仿宋_GB2312" w:cs="仿宋_GB2312" w:hint="eastAsia"/>
          <w:sz w:val="32"/>
          <w:szCs w:val="32"/>
        </w:rPr>
        <w:t>期限</w:t>
      </w:r>
      <w:r w:rsidR="005E2667">
        <w:rPr>
          <w:rFonts w:ascii="仿宋_GB2312" w:eastAsia="仿宋_GB2312" w:hAnsi="仿宋_GB2312" w:cs="仿宋_GB2312" w:hint="eastAsia"/>
          <w:sz w:val="32"/>
          <w:szCs w:val="32"/>
        </w:rPr>
        <w:t>、</w:t>
      </w:r>
      <w:r w:rsidR="0005499B">
        <w:rPr>
          <w:rFonts w:ascii="仿宋_GB2312" w:eastAsia="仿宋_GB2312" w:hAnsi="仿宋_GB2312" w:cs="仿宋_GB2312" w:hint="eastAsia"/>
          <w:sz w:val="32"/>
          <w:szCs w:val="32"/>
        </w:rPr>
        <w:t>履行</w:t>
      </w:r>
      <w:r w:rsidR="005E2667" w:rsidRPr="005E2667">
        <w:rPr>
          <w:rFonts w:ascii="仿宋_GB2312" w:eastAsia="仿宋_GB2312" w:hAnsi="仿宋_GB2312" w:cs="仿宋_GB2312" w:hint="eastAsia"/>
          <w:sz w:val="32"/>
          <w:szCs w:val="32"/>
        </w:rPr>
        <w:t>地点</w:t>
      </w:r>
      <w:r w:rsidR="005E2667">
        <w:rPr>
          <w:rFonts w:ascii="仿宋_GB2312" w:eastAsia="仿宋_GB2312" w:hAnsi="仿宋_GB2312" w:cs="仿宋_GB2312" w:hint="eastAsia"/>
          <w:sz w:val="32"/>
          <w:szCs w:val="32"/>
        </w:rPr>
        <w:t>及质保期</w:t>
      </w:r>
    </w:p>
    <w:p w14:paraId="77D15EF6" w14:textId="7F05C378" w:rsidR="005E2667" w:rsidRPr="005E2667" w:rsidRDefault="005E2667" w:rsidP="005E2667">
      <w:pPr>
        <w:widowControl/>
        <w:adjustRightInd w:val="0"/>
        <w:snapToGrid w:val="0"/>
        <w:spacing w:line="360" w:lineRule="auto"/>
        <w:jc w:val="left"/>
        <w:rPr>
          <w:rFonts w:ascii="仿宋_GB2312" w:eastAsia="仿宋_GB2312" w:hAnsi="仿宋_GB2312" w:cs="仿宋_GB2312" w:hint="eastAsia"/>
          <w:sz w:val="32"/>
          <w:szCs w:val="32"/>
        </w:rPr>
      </w:pPr>
      <w:r w:rsidRPr="005E2667">
        <w:rPr>
          <w:rFonts w:ascii="仿宋_GB2312" w:eastAsia="仿宋_GB2312" w:hAnsi="仿宋_GB2312" w:cs="仿宋_GB2312" w:hint="eastAsia"/>
          <w:sz w:val="32"/>
          <w:szCs w:val="32"/>
        </w:rPr>
        <w:t>（1）项目交付期限：合同签订生效后</w:t>
      </w:r>
      <w:r w:rsidR="00261C86">
        <w:rPr>
          <w:rFonts w:ascii="仿宋_GB2312" w:eastAsia="仿宋_GB2312" w:hAnsi="仿宋_GB2312" w:cs="仿宋_GB2312" w:hint="eastAsia"/>
          <w:sz w:val="32"/>
          <w:szCs w:val="32"/>
        </w:rPr>
        <w:t>6</w:t>
      </w:r>
      <w:r w:rsidRPr="005E2667">
        <w:rPr>
          <w:rFonts w:ascii="仿宋_GB2312" w:eastAsia="仿宋_GB2312" w:hAnsi="仿宋_GB2312" w:cs="仿宋_GB2312" w:hint="eastAsia"/>
          <w:sz w:val="32"/>
          <w:szCs w:val="32"/>
        </w:rPr>
        <w:t>个月内完成对接</w:t>
      </w:r>
      <w:r>
        <w:rPr>
          <w:rFonts w:ascii="仿宋_GB2312" w:eastAsia="仿宋_GB2312" w:hAnsi="仿宋_GB2312" w:cs="仿宋_GB2312" w:hint="eastAsia"/>
          <w:sz w:val="32"/>
          <w:szCs w:val="32"/>
        </w:rPr>
        <w:t>。</w:t>
      </w:r>
    </w:p>
    <w:p w14:paraId="363505E5" w14:textId="77777777" w:rsidR="005E2667" w:rsidRPr="005E2667" w:rsidRDefault="005E2667" w:rsidP="005E2667">
      <w:pPr>
        <w:widowControl/>
        <w:adjustRightInd w:val="0"/>
        <w:snapToGrid w:val="0"/>
        <w:spacing w:line="360" w:lineRule="auto"/>
        <w:jc w:val="left"/>
        <w:rPr>
          <w:rFonts w:ascii="仿宋_GB2312" w:eastAsia="仿宋_GB2312" w:hAnsi="仿宋_GB2312" w:cs="仿宋_GB2312" w:hint="eastAsia"/>
          <w:sz w:val="32"/>
          <w:szCs w:val="32"/>
        </w:rPr>
      </w:pPr>
      <w:r w:rsidRPr="005E2667">
        <w:rPr>
          <w:rFonts w:ascii="仿宋_GB2312" w:eastAsia="仿宋_GB2312" w:hAnsi="仿宋_GB2312" w:cs="仿宋_GB2312" w:hint="eastAsia"/>
          <w:sz w:val="32"/>
          <w:szCs w:val="32"/>
        </w:rPr>
        <w:t>（2）合同履行地点: 四川省妇幼保健院。</w:t>
      </w:r>
    </w:p>
    <w:p w14:paraId="2B2FE5DA" w14:textId="77777777" w:rsidR="005E2667" w:rsidRPr="005E2667" w:rsidRDefault="005E2667" w:rsidP="005E2667">
      <w:pPr>
        <w:pStyle w:val="a7"/>
        <w:rPr>
          <w:rFonts w:ascii="仿宋_GB2312" w:eastAsia="仿宋_GB2312" w:hAnsi="仿宋_GB2312" w:cs="仿宋_GB2312" w:hint="eastAsia"/>
          <w:sz w:val="32"/>
          <w:szCs w:val="32"/>
        </w:rPr>
      </w:pPr>
      <w:r w:rsidRPr="005E2667">
        <w:rPr>
          <w:rFonts w:ascii="仿宋_GB2312" w:eastAsia="仿宋_GB2312" w:hAnsi="仿宋_GB2312" w:cs="仿宋_GB2312" w:hint="eastAsia"/>
          <w:sz w:val="32"/>
          <w:szCs w:val="32"/>
        </w:rPr>
        <w:t>（3）质保期：</w:t>
      </w:r>
      <w:r w:rsidRPr="005E2667">
        <w:rPr>
          <w:rFonts w:ascii="仿宋_GB2312" w:eastAsia="仿宋_GB2312" w:hAnsi="仿宋_GB2312" w:cs="仿宋_GB2312"/>
          <w:sz w:val="32"/>
          <w:szCs w:val="32"/>
        </w:rPr>
        <w:t>1</w:t>
      </w:r>
      <w:r w:rsidRPr="005E2667">
        <w:rPr>
          <w:rFonts w:ascii="仿宋_GB2312" w:eastAsia="仿宋_GB2312" w:hAnsi="仿宋_GB2312" w:cs="仿宋_GB2312" w:hint="eastAsia"/>
          <w:sz w:val="32"/>
          <w:szCs w:val="32"/>
        </w:rPr>
        <w:t>年，从项目整体验收合格之日起计算。</w:t>
      </w:r>
    </w:p>
    <w:p w14:paraId="6D5F9A74" w14:textId="415585F5" w:rsidR="005E2667" w:rsidRPr="005E2667" w:rsidRDefault="005E2667" w:rsidP="005E2667">
      <w:pPr>
        <w:widowControl/>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2、付款方式和条件</w:t>
      </w:r>
    </w:p>
    <w:p w14:paraId="42EE79DC" w14:textId="6E1316D3" w:rsidR="006B5F6F" w:rsidRDefault="006B5F6F" w:rsidP="005E2667">
      <w:pPr>
        <w:widowControl/>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合同签订生效后60日内，投标人向采购人提供全额增值税发票，采购人向投标人支付合同总金额的30%；</w:t>
      </w:r>
      <w:r w:rsidR="005E2667" w:rsidRPr="005E2667">
        <w:rPr>
          <w:rFonts w:ascii="仿宋_GB2312" w:eastAsia="仿宋_GB2312" w:hAnsi="仿宋_GB2312" w:cs="仿宋_GB2312" w:hint="eastAsia"/>
          <w:sz w:val="32"/>
          <w:szCs w:val="32"/>
        </w:rPr>
        <w:t>安装调试完成并验收合格后</w:t>
      </w:r>
      <w:r w:rsidR="005E2667">
        <w:rPr>
          <w:rFonts w:ascii="仿宋_GB2312" w:eastAsia="仿宋_GB2312" w:hAnsi="仿宋_GB2312" w:cs="仿宋_GB2312" w:hint="eastAsia"/>
          <w:sz w:val="32"/>
          <w:szCs w:val="32"/>
        </w:rPr>
        <w:t>60日内</w:t>
      </w:r>
      <w:r w:rsidR="005E2667" w:rsidRPr="005E2667">
        <w:rPr>
          <w:rFonts w:ascii="仿宋_GB2312" w:eastAsia="仿宋_GB2312" w:hAnsi="仿宋_GB2312" w:cs="仿宋_GB2312" w:hint="eastAsia"/>
          <w:sz w:val="32"/>
          <w:szCs w:val="32"/>
        </w:rPr>
        <w:t>支付合同金额的</w:t>
      </w:r>
      <w:r w:rsidR="005E2667">
        <w:rPr>
          <w:rFonts w:ascii="仿宋_GB2312" w:eastAsia="仿宋_GB2312" w:hAnsi="仿宋_GB2312" w:cs="仿宋_GB2312" w:hint="eastAsia"/>
          <w:sz w:val="32"/>
          <w:szCs w:val="32"/>
        </w:rPr>
        <w:t>6</w:t>
      </w:r>
      <w:r w:rsidR="005E2667" w:rsidRPr="005E2667">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服务期满后支付剩余10%的合同款。</w:t>
      </w:r>
    </w:p>
    <w:p w14:paraId="51C5CA5B" w14:textId="181DB2E2" w:rsidR="006B5F6F" w:rsidRDefault="005E2667" w:rsidP="005E2667">
      <w:pPr>
        <w:widowControl/>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w:t>
      </w:r>
      <w:r w:rsidR="006B5F6F">
        <w:rPr>
          <w:rFonts w:ascii="仿宋_GB2312" w:eastAsia="仿宋_GB2312" w:hAnsi="仿宋_GB2312" w:cs="仿宋_GB2312" w:hint="eastAsia"/>
          <w:sz w:val="32"/>
          <w:szCs w:val="32"/>
        </w:rPr>
        <w:t>报价要求</w:t>
      </w:r>
    </w:p>
    <w:p w14:paraId="2BF0F24E" w14:textId="5B6B8D56" w:rsidR="006B5F6F" w:rsidRDefault="006B5F6F" w:rsidP="006B5F6F">
      <w:pPr>
        <w:pStyle w:val="a7"/>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本次报价包含完成本项目的所有费用，包含项目调研、咨询服务、</w:t>
      </w:r>
      <w:r w:rsidR="009F2112">
        <w:rPr>
          <w:rFonts w:ascii="仿宋_GB2312" w:eastAsia="仿宋_GB2312" w:hAnsi="仿宋_GB2312" w:cs="仿宋_GB2312" w:hint="eastAsia"/>
          <w:sz w:val="32"/>
          <w:szCs w:val="32"/>
        </w:rPr>
        <w:t>系统对接、</w:t>
      </w:r>
      <w:r>
        <w:rPr>
          <w:rFonts w:ascii="仿宋_GB2312" w:eastAsia="仿宋_GB2312" w:hAnsi="仿宋_GB2312" w:cs="仿宋_GB2312" w:hint="eastAsia"/>
          <w:sz w:val="32"/>
          <w:szCs w:val="32"/>
        </w:rPr>
        <w:t>方案制定、部署实施、培训、</w:t>
      </w:r>
      <w:r w:rsidR="009F2112">
        <w:rPr>
          <w:rFonts w:ascii="仿宋_GB2312" w:eastAsia="仿宋_GB2312" w:hAnsi="仿宋_GB2312" w:cs="仿宋_GB2312" w:hint="eastAsia"/>
          <w:sz w:val="32"/>
          <w:szCs w:val="32"/>
        </w:rPr>
        <w:t>人工、差旅、</w:t>
      </w:r>
      <w:r>
        <w:rPr>
          <w:rFonts w:ascii="仿宋_GB2312" w:eastAsia="仿宋_GB2312" w:hAnsi="仿宋_GB2312" w:cs="仿宋_GB2312" w:hint="eastAsia"/>
          <w:sz w:val="32"/>
          <w:szCs w:val="32"/>
        </w:rPr>
        <w:t>税费等</w:t>
      </w:r>
      <w:r w:rsidR="00B862FA">
        <w:rPr>
          <w:rFonts w:ascii="仿宋_GB2312" w:eastAsia="仿宋_GB2312" w:hAnsi="仿宋_GB2312" w:cs="仿宋_GB2312" w:hint="eastAsia"/>
          <w:sz w:val="32"/>
          <w:szCs w:val="32"/>
        </w:rPr>
        <w:t>一切</w:t>
      </w:r>
      <w:r>
        <w:rPr>
          <w:rFonts w:ascii="仿宋_GB2312" w:eastAsia="仿宋_GB2312" w:hAnsi="仿宋_GB2312" w:cs="仿宋_GB2312" w:hint="eastAsia"/>
          <w:sz w:val="32"/>
          <w:szCs w:val="32"/>
        </w:rPr>
        <w:t>费用，采购人不再额外支付任何费用。</w:t>
      </w:r>
    </w:p>
    <w:p w14:paraId="558C6DBB" w14:textId="7053687F" w:rsidR="006B5F6F" w:rsidRDefault="005E2667" w:rsidP="005E2667">
      <w:pPr>
        <w:widowControl/>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w:t>
      </w:r>
      <w:r w:rsidR="006B5F6F">
        <w:rPr>
          <w:rFonts w:ascii="仿宋_GB2312" w:eastAsia="仿宋_GB2312" w:hAnsi="仿宋_GB2312" w:cs="仿宋_GB2312" w:hint="eastAsia"/>
          <w:sz w:val="32"/>
          <w:szCs w:val="32"/>
        </w:rPr>
        <w:t>验收标准</w:t>
      </w:r>
    </w:p>
    <w:p w14:paraId="075A7F25" w14:textId="77777777" w:rsidR="006B5F6F" w:rsidRDefault="006B5F6F" w:rsidP="006B5F6F">
      <w:pPr>
        <w:pStyle w:val="a7"/>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（1）中标人与采购人将严格按照采购相关制度的要求进行验收。</w:t>
      </w:r>
    </w:p>
    <w:p w14:paraId="35CC6A9C" w14:textId="77777777" w:rsidR="006B5F6F" w:rsidRDefault="006B5F6F" w:rsidP="006B5F6F">
      <w:pPr>
        <w:pStyle w:val="a7"/>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（2）以招标文件技术参数及要求和相关行业标准为准。</w:t>
      </w:r>
    </w:p>
    <w:p w14:paraId="123D41DC" w14:textId="695B32E7" w:rsidR="005E2667" w:rsidRDefault="00452641" w:rsidP="00452641">
      <w:pPr>
        <w:widowControl/>
        <w:adjustRightInd w:val="0"/>
        <w:snapToGrid w:val="0"/>
        <w:spacing w:line="360" w:lineRule="auto"/>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w:t>
      </w:r>
      <w:r w:rsidR="005E2667" w:rsidRPr="00452641">
        <w:rPr>
          <w:rFonts w:ascii="仿宋_GB2312" w:eastAsia="仿宋_GB2312" w:hAnsi="仿宋_GB2312" w:cs="仿宋_GB2312" w:hint="eastAsia"/>
          <w:sz w:val="32"/>
          <w:szCs w:val="32"/>
        </w:rPr>
        <w:t>售后服务</w:t>
      </w:r>
    </w:p>
    <w:p w14:paraId="15984628" w14:textId="77777777" w:rsidR="00452641" w:rsidRPr="00452641" w:rsidRDefault="00452641" w:rsidP="00452641">
      <w:pPr>
        <w:widowControl/>
        <w:adjustRightInd w:val="0"/>
        <w:snapToGrid w:val="0"/>
        <w:spacing w:line="360" w:lineRule="auto"/>
        <w:ind w:firstLineChars="200" w:firstLine="640"/>
        <w:jc w:val="left"/>
        <w:rPr>
          <w:rFonts w:ascii="仿宋_GB2312" w:eastAsia="仿宋_GB2312" w:hAnsi="仿宋_GB2312" w:cs="仿宋_GB2312" w:hint="eastAsia"/>
          <w:sz w:val="32"/>
          <w:szCs w:val="32"/>
        </w:rPr>
      </w:pPr>
      <w:r w:rsidRPr="00452641">
        <w:rPr>
          <w:rFonts w:ascii="仿宋_GB2312" w:eastAsia="仿宋_GB2312" w:hAnsi="仿宋_GB2312" w:cs="仿宋_GB2312" w:hint="eastAsia"/>
          <w:sz w:val="32"/>
          <w:szCs w:val="32"/>
        </w:rPr>
        <w:lastRenderedPageBreak/>
        <w:t>（1）根据采购人指定的地点和时间，投标人负责派工程师上门完成软件安装。</w:t>
      </w:r>
    </w:p>
    <w:p w14:paraId="63458DBF" w14:textId="3174B592" w:rsidR="00452641" w:rsidRPr="00452641" w:rsidRDefault="00452641" w:rsidP="00452641">
      <w:pPr>
        <w:widowControl/>
        <w:adjustRightInd w:val="0"/>
        <w:snapToGrid w:val="0"/>
        <w:spacing w:line="360" w:lineRule="auto"/>
        <w:ind w:firstLineChars="200" w:firstLine="640"/>
        <w:jc w:val="left"/>
        <w:rPr>
          <w:rFonts w:ascii="仿宋_GB2312" w:eastAsia="仿宋_GB2312" w:hAnsi="仿宋_GB2312" w:cs="仿宋_GB2312" w:hint="eastAsia"/>
          <w:sz w:val="32"/>
          <w:szCs w:val="32"/>
        </w:rPr>
      </w:pPr>
      <w:r w:rsidRPr="00452641">
        <w:rPr>
          <w:rFonts w:ascii="仿宋_GB2312" w:eastAsia="仿宋_GB2312" w:hAnsi="仿宋_GB2312" w:cs="仿宋_GB2312" w:hint="eastAsia"/>
          <w:sz w:val="32"/>
          <w:szCs w:val="32"/>
        </w:rPr>
        <w:t>（2）服务期内供应商提供免费的维保服务，软件7×24小时售后技术服务；接到采购人通知后应确保</w:t>
      </w:r>
      <w:r w:rsidR="003A7758">
        <w:rPr>
          <w:rFonts w:ascii="仿宋_GB2312" w:eastAsia="仿宋_GB2312" w:hAnsi="仿宋_GB2312" w:cs="仿宋_GB2312" w:hint="eastAsia"/>
          <w:sz w:val="32"/>
          <w:szCs w:val="32"/>
        </w:rPr>
        <w:t>20分钟</w:t>
      </w:r>
      <w:r w:rsidRPr="00452641">
        <w:rPr>
          <w:rFonts w:ascii="仿宋_GB2312" w:eastAsia="仿宋_GB2312" w:hAnsi="仿宋_GB2312" w:cs="仿宋_GB2312" w:hint="eastAsia"/>
          <w:sz w:val="32"/>
          <w:szCs w:val="32"/>
        </w:rPr>
        <w:t>内响应，2小时内排除故障。</w:t>
      </w:r>
    </w:p>
    <w:p w14:paraId="7E22B70A" w14:textId="700207BE" w:rsidR="006B5F6F" w:rsidRDefault="00452641" w:rsidP="006B5F6F">
      <w:pPr>
        <w:pStyle w:val="a7"/>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w:t>
      </w:r>
      <w:r w:rsidR="006B5F6F">
        <w:rPr>
          <w:rFonts w:ascii="仿宋_GB2312" w:eastAsia="仿宋_GB2312" w:hAnsi="仿宋_GB2312" w:cs="仿宋_GB2312" w:hint="eastAsia"/>
          <w:sz w:val="32"/>
          <w:szCs w:val="32"/>
        </w:rPr>
        <w:t>其他要求</w:t>
      </w:r>
    </w:p>
    <w:p w14:paraId="14D4E8B5" w14:textId="3FB2F7B1" w:rsidR="006B5F6F" w:rsidRDefault="00452641" w:rsidP="006B5F6F">
      <w:pPr>
        <w:pStyle w:val="a7"/>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质保</w:t>
      </w:r>
      <w:r w:rsidR="006B5F6F">
        <w:rPr>
          <w:rFonts w:ascii="仿宋_GB2312" w:eastAsia="仿宋_GB2312" w:hAnsi="仿宋_GB2312" w:cs="仿宋_GB2312" w:hint="eastAsia"/>
          <w:sz w:val="32"/>
          <w:szCs w:val="32"/>
        </w:rPr>
        <w:t>期内，如果因乙方原因造成甲方违反国家卫生行政管理部门或上级相关行政部门的规定被上级部门约谈、通报及处罚等情况发生，甲方有权对乙方进行以下处理：①要求乙方承担甲方实际损失；②同时，每发生一次，要求乙方承担成交金额的5%的违约金；情节严重的，每次乙方需承担成交金额的10%的违约金；③乙方承担损失金额及违约金都将从合同款中扣除，扣除后不足部分由乙方补足。</w:t>
      </w:r>
    </w:p>
    <w:p w14:paraId="5A8F6E29" w14:textId="77777777" w:rsidR="00AB2766" w:rsidRPr="006B5F6F" w:rsidRDefault="00AB2766" w:rsidP="00AB2766">
      <w:pPr>
        <w:ind w:firstLineChars="200" w:firstLine="640"/>
        <w:rPr>
          <w:rFonts w:ascii="仿宋_GB2312" w:eastAsia="仿宋_GB2312" w:hAnsi="仿宋_GB2312" w:cs="仿宋_GB2312" w:hint="eastAsia"/>
          <w:sz w:val="32"/>
          <w:szCs w:val="32"/>
        </w:rPr>
      </w:pPr>
    </w:p>
    <w:sectPr w:rsidR="00AB2766" w:rsidRPr="006B5F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8315C" w14:textId="77777777" w:rsidR="004120EA" w:rsidRDefault="004120EA" w:rsidP="00AB2766">
      <w:r>
        <w:separator/>
      </w:r>
    </w:p>
  </w:endnote>
  <w:endnote w:type="continuationSeparator" w:id="0">
    <w:p w14:paraId="49A83E5C" w14:textId="77777777" w:rsidR="004120EA" w:rsidRDefault="004120EA" w:rsidP="00AB2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D75CB" w14:textId="77777777" w:rsidR="004120EA" w:rsidRDefault="004120EA" w:rsidP="00AB2766">
      <w:r>
        <w:separator/>
      </w:r>
    </w:p>
  </w:footnote>
  <w:footnote w:type="continuationSeparator" w:id="0">
    <w:p w14:paraId="2E4FC53C" w14:textId="77777777" w:rsidR="004120EA" w:rsidRDefault="004120EA" w:rsidP="00AB27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03202A"/>
    <w:multiLevelType w:val="singleLevel"/>
    <w:tmpl w:val="8F03202A"/>
    <w:lvl w:ilvl="0">
      <w:start w:val="1"/>
      <w:numFmt w:val="chineseCounting"/>
      <w:suff w:val="nothing"/>
      <w:lvlText w:val="%1、"/>
      <w:lvlJc w:val="left"/>
      <w:rPr>
        <w:rFonts w:hint="eastAsia"/>
      </w:rPr>
    </w:lvl>
  </w:abstractNum>
  <w:abstractNum w:abstractNumId="1" w15:restartNumberingAfterBreak="0">
    <w:nsid w:val="33AAC858"/>
    <w:multiLevelType w:val="singleLevel"/>
    <w:tmpl w:val="33AAC858"/>
    <w:lvl w:ilvl="0">
      <w:start w:val="1"/>
      <w:numFmt w:val="decimal"/>
      <w:suff w:val="space"/>
      <w:lvlText w:val="%1."/>
      <w:lvlJc w:val="left"/>
    </w:lvl>
  </w:abstractNum>
  <w:abstractNum w:abstractNumId="2" w15:restartNumberingAfterBreak="0">
    <w:nsid w:val="67590A67"/>
    <w:multiLevelType w:val="hybridMultilevel"/>
    <w:tmpl w:val="E626F0F6"/>
    <w:lvl w:ilvl="0" w:tplc="15E2D702">
      <w:start w:val="3"/>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897300E"/>
    <w:multiLevelType w:val="hybridMultilevel"/>
    <w:tmpl w:val="3642E46A"/>
    <w:lvl w:ilvl="0" w:tplc="6C821CE0">
      <w:start w:val="4"/>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74799801">
    <w:abstractNumId w:val="0"/>
  </w:num>
  <w:num w:numId="2" w16cid:durableId="626201871">
    <w:abstractNumId w:val="1"/>
  </w:num>
  <w:num w:numId="3" w16cid:durableId="1036152202">
    <w:abstractNumId w:val="2"/>
  </w:num>
  <w:num w:numId="4" w16cid:durableId="302201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797788F"/>
    <w:rsid w:val="0005499B"/>
    <w:rsid w:val="00114346"/>
    <w:rsid w:val="00261C86"/>
    <w:rsid w:val="002B4D9C"/>
    <w:rsid w:val="003A0EDB"/>
    <w:rsid w:val="003A7758"/>
    <w:rsid w:val="004120EA"/>
    <w:rsid w:val="00452641"/>
    <w:rsid w:val="0058518E"/>
    <w:rsid w:val="005D6CDE"/>
    <w:rsid w:val="005E2667"/>
    <w:rsid w:val="006B5F6F"/>
    <w:rsid w:val="007C6DE3"/>
    <w:rsid w:val="0080600D"/>
    <w:rsid w:val="0085601B"/>
    <w:rsid w:val="008D2C27"/>
    <w:rsid w:val="008E27F9"/>
    <w:rsid w:val="00946892"/>
    <w:rsid w:val="009C6A58"/>
    <w:rsid w:val="009F2112"/>
    <w:rsid w:val="00A418C8"/>
    <w:rsid w:val="00AB2766"/>
    <w:rsid w:val="00B20635"/>
    <w:rsid w:val="00B862FA"/>
    <w:rsid w:val="00C46832"/>
    <w:rsid w:val="00D5413A"/>
    <w:rsid w:val="00DB1493"/>
    <w:rsid w:val="00FE0712"/>
    <w:rsid w:val="1797788F"/>
    <w:rsid w:val="3B9B1422"/>
    <w:rsid w:val="42CE651F"/>
    <w:rsid w:val="5EA90CB3"/>
    <w:rsid w:val="633F105D"/>
    <w:rsid w:val="7B6A1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B4E6D"/>
  <w15:docId w15:val="{864042B8-114B-45EF-8CA5-42F00D024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6B5F6F"/>
    <w:pPr>
      <w:keepNext/>
      <w:keepLines/>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B2766"/>
    <w:pPr>
      <w:tabs>
        <w:tab w:val="center" w:pos="4153"/>
        <w:tab w:val="right" w:pos="8306"/>
      </w:tabs>
      <w:snapToGrid w:val="0"/>
      <w:jc w:val="center"/>
    </w:pPr>
    <w:rPr>
      <w:sz w:val="18"/>
      <w:szCs w:val="18"/>
    </w:rPr>
  </w:style>
  <w:style w:type="character" w:customStyle="1" w:styleId="a4">
    <w:name w:val="页眉 字符"/>
    <w:basedOn w:val="a0"/>
    <w:link w:val="a3"/>
    <w:rsid w:val="00AB2766"/>
    <w:rPr>
      <w:kern w:val="2"/>
      <w:sz w:val="18"/>
      <w:szCs w:val="18"/>
    </w:rPr>
  </w:style>
  <w:style w:type="paragraph" w:styleId="a5">
    <w:name w:val="footer"/>
    <w:basedOn w:val="a"/>
    <w:link w:val="a6"/>
    <w:rsid w:val="00AB2766"/>
    <w:pPr>
      <w:tabs>
        <w:tab w:val="center" w:pos="4153"/>
        <w:tab w:val="right" w:pos="8306"/>
      </w:tabs>
      <w:snapToGrid w:val="0"/>
      <w:jc w:val="left"/>
    </w:pPr>
    <w:rPr>
      <w:sz w:val="18"/>
      <w:szCs w:val="18"/>
    </w:rPr>
  </w:style>
  <w:style w:type="character" w:customStyle="1" w:styleId="a6">
    <w:name w:val="页脚 字符"/>
    <w:basedOn w:val="a0"/>
    <w:link w:val="a5"/>
    <w:rsid w:val="00AB2766"/>
    <w:rPr>
      <w:kern w:val="2"/>
      <w:sz w:val="18"/>
      <w:szCs w:val="18"/>
    </w:rPr>
  </w:style>
  <w:style w:type="character" w:customStyle="1" w:styleId="10">
    <w:name w:val="标题 1 字符"/>
    <w:basedOn w:val="a0"/>
    <w:link w:val="1"/>
    <w:uiPriority w:val="9"/>
    <w:qFormat/>
    <w:rsid w:val="006B5F6F"/>
    <w:rPr>
      <w:rFonts w:ascii="Times New Roman" w:eastAsia="宋体" w:hAnsi="Times New Roman" w:cs="Times New Roman"/>
      <w:b/>
      <w:bCs/>
      <w:kern w:val="44"/>
      <w:sz w:val="44"/>
      <w:szCs w:val="44"/>
    </w:rPr>
  </w:style>
  <w:style w:type="paragraph" w:styleId="a7">
    <w:name w:val="Body Text"/>
    <w:basedOn w:val="a"/>
    <w:next w:val="a"/>
    <w:link w:val="a8"/>
    <w:uiPriority w:val="99"/>
    <w:unhideWhenUsed/>
    <w:rsid w:val="006B5F6F"/>
    <w:pPr>
      <w:spacing w:after="120"/>
    </w:pPr>
    <w:rPr>
      <w:rFonts w:ascii="Times New Roman" w:eastAsia="宋体" w:hAnsi="Times New Roman" w:cs="Times New Roman"/>
    </w:rPr>
  </w:style>
  <w:style w:type="character" w:customStyle="1" w:styleId="a8">
    <w:name w:val="正文文本 字符"/>
    <w:basedOn w:val="a0"/>
    <w:link w:val="a7"/>
    <w:uiPriority w:val="99"/>
    <w:qFormat/>
    <w:rsid w:val="006B5F6F"/>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169</Words>
  <Characters>967</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hasee</dc:creator>
  <cp:lastModifiedBy>子 欢</cp:lastModifiedBy>
  <cp:revision>12</cp:revision>
  <dcterms:created xsi:type="dcterms:W3CDTF">2024-08-06T10:03:00Z</dcterms:created>
  <dcterms:modified xsi:type="dcterms:W3CDTF">2024-09-03T06:41:00Z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