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bookmarkStart w:id="1" w:name="_GoBack"/>
      <w:bookmarkEnd w:id="1"/>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1"/>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487" w:type="dxa"/>
            <w:vAlign w:val="center"/>
          </w:tcPr>
          <w:p>
            <w:pPr>
              <w:spacing w:line="360" w:lineRule="exact"/>
              <w:jc w:val="center"/>
              <w:rPr>
                <w:rFonts w:ascii="宋体" w:hAnsi="Times New Roman" w:eastAsia="宋体" w:cs="Times New Roman"/>
              </w:rPr>
            </w:pPr>
            <w:r>
              <w:rPr>
                <w:rFonts w:hint="eastAsia" w:ascii="宋体" w:hAnsi="宋体" w:eastAsia="宋体" w:cs="Times New Roman"/>
                <w:b w:val="0"/>
                <w:bCs w:val="0"/>
                <w:kern w:val="2"/>
                <w:sz w:val="21"/>
                <w:szCs w:val="21"/>
                <w:lang w:val="en-US" w:eastAsia="zh-CN" w:bidi="ar-SA"/>
              </w:rPr>
              <w:t>老年人体质检测一体机</w:t>
            </w:r>
          </w:p>
        </w:tc>
        <w:tc>
          <w:tcPr>
            <w:tcW w:w="1183" w:type="dxa"/>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1台</w:t>
            </w:r>
          </w:p>
        </w:tc>
        <w:tc>
          <w:tcPr>
            <w:tcW w:w="1454" w:type="dxa"/>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9.3</w:t>
            </w:r>
          </w:p>
        </w:tc>
      </w:tr>
    </w:tbl>
    <w:p>
      <w:pPr>
        <w:pStyle w:val="14"/>
      </w:pPr>
    </w:p>
    <w:p>
      <w:pPr>
        <w:spacing w:line="360" w:lineRule="exact"/>
        <w:jc w:val="left"/>
        <w:rPr>
          <w:rFonts w:ascii="仿宋" w:hAnsi="仿宋" w:eastAsia="仿宋" w:cs="Segoe UI"/>
          <w:b/>
          <w:color w:val="333333"/>
          <w:spacing w:val="8"/>
          <w:kern w:val="0"/>
          <w:sz w:val="28"/>
          <w:szCs w:val="28"/>
        </w:rPr>
      </w:pPr>
      <w:r>
        <w:rPr>
          <w:rFonts w:hint="eastAsia"/>
          <w:b/>
          <w:bCs/>
        </w:rPr>
        <w:t>二、技术要求：</w:t>
      </w:r>
    </w:p>
    <w:p>
      <w:pPr>
        <w:spacing w:line="360" w:lineRule="exact"/>
        <w:jc w:val="both"/>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1.▲适用范围：用于综合评价老年人肌肉状况、协助判断老年人肌少症等。</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2.测试系统由SARC-CalF量表、小腿围测量、握力测试、六米步速测试仪、五次坐起测试仪以及测试APP组成。</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3.测试过程中具有实时显示各测试模块连接情况，保证数据上传的稳定性。</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4.在每个检测项检测完成时，实时显示每个项目的检测数据；检测完成后能即时生成诊断测试报告。</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5.▲检测软件具备用户管理功能，内容包括建档、测试、查询历史纪录、导出检测结果等功能。</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6.系统的评价标准基于《中国老年人肌少症诊疗专家共识（2021）》制定。</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7.测试APP可开放接口与平台/系统对接。</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8.检测要求：系统具备≥4个测试功能模块，至少包括：SARC-CalF量表（包含小腿围测量）、握力测试、六米步速测试和五次坐起测试。每个测试模块可独立运行，支持多人同时使用不同测试模块。</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9.具有肌少症测评系统软件著作权登记证书。</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10.SARC-CalF量表及小腿围测量</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10.1 测试传感器采用智能电子软尺。</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10.2 具有维度及直线测量功能，支持数据实时上传。</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10.3▲量程：0-1500mm；分度值：1mm；误差：±0.2%。</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10.4具有电子化问卷管理功能，支持问卷实时提交。</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11.握力测试仪</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11.1 ▲可根据手掌大小自由调节握距。</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11.2 测试仪内外握把均内置不锈钢片，加强牢固度，防止握把变形。</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11.3 量程：5kg－100kg ；分度值：0.1kg ；误差：±0.3%。</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12.六米步速测试垫</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12.1 测试传感器采用压力感应检测计时。</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12.2 固定6米距离，收纳再展开后无需重新测量距离。</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12.3 第二次测试可更改起点、终点位置，方便测试。</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12.4 量程：0～9999.99S；分度值：0.01s；误差：±0.1%。</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13.五次坐起测试仪</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13.1测试传感器采用霍尔传感器。</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13.2具有计数功能并在屏幕显示。</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13.3测试完成后，支持编辑测试结果。 </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13.4 量程：0次~999次；分度值：1次；误差： ±1次。</w:t>
      </w:r>
    </w:p>
    <w:p>
      <w:pPr>
        <w:spacing w:line="360" w:lineRule="exact"/>
        <w:jc w:val="both"/>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14.测试平板及软件</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14.1管理员账号可对报告发送地址、采集器配置地址、测试方式、测试者信息等进行设置。</w:t>
      </w:r>
    </w:p>
    <w:p>
      <w:pPr>
        <w:spacing w:line="360" w:lineRule="exact"/>
        <w:jc w:val="both"/>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14.2用户管理：具有测试者信息关键字搜索功能；支持查看历史测试记录及历史测试报告、编辑和删除用户信息等操作；支持测试报告上传服务端。</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14.3待测试清单：测试全程中支持查看未测试者人数；完成全部检测后自动移出待测试清单。</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14.4检测数据：具有检测数据存储功能，支持查看检测结果及检测过程中的状态。显示内容至少包括测试结果、平均值、最大值、检测过程中的状态等信息。</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14.5▲报告：测试完成后，报告具有自动生成功能。个人报告内容至少包含测试结果、正常范围及评价，肌肉量详细评价，总体评价等；功能测试结果部分至少包含测试结果、正常范围值及评价、维度分析结果等；肌肉量详细报告至少包含四肢各节段肌肉量及评价等；总体评价内容至少包含低肌少症风险、肌少症可能、肌少症、严重肌少症等。体成分报告至少包含人体成分分析、肌肉脂肪分析、肥胖分析、肌肉均衡、测试结果、身体总评分、体型判断等。</w:t>
      </w:r>
    </w:p>
    <w:p>
      <w:pPr>
        <w:numPr>
          <w:ilvl w:val="0"/>
          <w:numId w:val="0"/>
        </w:numPr>
        <w:spacing w:line="360" w:lineRule="exact"/>
        <w:ind w:leftChars="0"/>
        <w:jc w:val="lef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14.6尺寸：≥10寸。运行内存：≥4G，内存容量:≥128G。</w:t>
      </w:r>
    </w:p>
    <w:p>
      <w:pPr>
        <w:numPr>
          <w:ilvl w:val="0"/>
          <w:numId w:val="0"/>
        </w:numPr>
        <w:spacing w:line="360" w:lineRule="exact"/>
        <w:ind w:leftChars="0"/>
        <w:jc w:val="left"/>
        <w:rPr>
          <w:b/>
          <w:bCs/>
        </w:rPr>
      </w:pPr>
      <w:r>
        <w:rPr>
          <w:rFonts w:hint="eastAsia"/>
          <w:b/>
          <w:bCs/>
        </w:rPr>
        <w:t>三、商务要求：</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及地点</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：合同签订生效后，收到采购人通知后30日内完成安装调试并交付采购人验收。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eastAsia="zh-CN"/>
        </w:rPr>
        <w:t>地点：四川省妇幼保健院。</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2.付款方法和条件：</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2.1乙方在合同签订生效之日起的7个工作日内，按合同总价10%支付履约保证金。</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2.3货物自验收合格之日满2年，甲方接到乙方付款申请后30个工作日内，甲方一次性无息退还乙方的履约保证金。</w:t>
      </w:r>
    </w:p>
    <w:p>
      <w:pPr>
        <w:spacing w:line="360" w:lineRule="exact"/>
        <w:jc w:val="both"/>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2.4经验收乙方履约不合格的，履约保证金不予退还。</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3.安装调试及验收：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3.1中标人负责货物安装、调试。</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3.3完成中标产品所有安装、调试、培训后，采购人组织项目验收，验收标准按照《财政部关于进一步加强政府采购需求和履约验收管理的指导意见》（财库〔2016〕205号）、招标文件、中标人投标文件为准。</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4.售后服务：</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4.1质保期：</w:t>
      </w:r>
      <w:r>
        <w:rPr>
          <w:rFonts w:hint="eastAsia" w:ascii="宋体" w:hAnsi="宋体" w:eastAsia="宋体" w:cs="宋体"/>
          <w:color w:val="000000"/>
          <w:kern w:val="0"/>
          <w:lang w:val="en-US" w:eastAsia="zh-CN"/>
        </w:rPr>
        <w:t>最终</w:t>
      </w:r>
      <w:r>
        <w:rPr>
          <w:rFonts w:hint="eastAsia" w:ascii="宋体" w:hAnsi="宋体" w:eastAsia="宋体" w:cs="宋体"/>
          <w:color w:val="000000"/>
          <w:kern w:val="0"/>
          <w:lang w:eastAsia="zh-CN"/>
        </w:rPr>
        <w:t>验收合格后提供至少</w:t>
      </w:r>
      <w:r>
        <w:rPr>
          <w:rFonts w:hint="eastAsia" w:ascii="宋体" w:hAnsi="宋体" w:eastAsia="宋体" w:cs="宋体"/>
          <w:color w:val="FF0000"/>
          <w:kern w:val="0"/>
          <w:lang w:val="en-US" w:eastAsia="zh-CN"/>
        </w:rPr>
        <w:t>3</w:t>
      </w:r>
      <w:r>
        <w:rPr>
          <w:rFonts w:hint="eastAsia" w:ascii="宋体" w:hAnsi="宋体" w:eastAsia="宋体" w:cs="宋体"/>
          <w:color w:val="FF0000"/>
          <w:kern w:val="0"/>
          <w:lang w:eastAsia="zh-CN"/>
        </w:rPr>
        <w:t>年</w:t>
      </w:r>
      <w:r>
        <w:rPr>
          <w:rFonts w:hint="eastAsia" w:ascii="宋体" w:hAnsi="宋体" w:eastAsia="宋体" w:cs="宋体"/>
          <w:color w:val="000000"/>
          <w:kern w:val="0"/>
          <w:lang w:eastAsia="zh-CN"/>
        </w:rPr>
        <w:t>原厂质保（含整机所有部件；如质保期内部件损坏，中标人免费更换全新原厂配件，并对更换部件延长一年质保）。</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4.4如货物涉及软件升级，中标人承诺为采购人提供软件升级服务，费用包含在投标总价内，采购人不再另行支付费用。</w:t>
      </w:r>
    </w:p>
    <w:p>
      <w:pPr>
        <w:spacing w:line="420" w:lineRule="exact"/>
        <w:jc w:val="both"/>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4.5中标人应承诺保证设备停产后至少5年的零配件供应。</w:t>
      </w:r>
      <w:r>
        <w:rPr>
          <w:rFonts w:hint="eastAsia" w:ascii="宋体" w:hAnsi="宋体" w:eastAsia="宋体" w:cs="宋体"/>
          <w:color w:val="000000"/>
          <w:kern w:val="0"/>
          <w:lang w:val="en-US" w:eastAsia="zh-CN"/>
        </w:rPr>
        <w:t>半年</w:t>
      </w:r>
      <w:r>
        <w:rPr>
          <w:rFonts w:hint="eastAsia" w:ascii="宋体" w:hAnsi="宋体" w:eastAsia="宋体" w:cs="宋体"/>
          <w:color w:val="000000"/>
          <w:kern w:val="0"/>
          <w:lang w:eastAsia="zh-CN"/>
        </w:rPr>
        <w:t>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widowControl/>
        <w:jc w:val="left"/>
        <w:rPr>
          <w:rFonts w:hint="eastAsia" w:ascii="宋体" w:hAnsi="宋体" w:eastAsia="宋体" w:cs="Segoe UI"/>
          <w:b/>
          <w:bCs/>
          <w:color w:val="333333"/>
          <w:kern w:val="0"/>
          <w:sz w:val="28"/>
          <w:szCs w:val="28"/>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1"/>
        <w:tblW w:w="6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688"/>
        <w:gridCol w:w="1170"/>
        <w:gridCol w:w="851"/>
        <w:gridCol w:w="5952"/>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89" w:type="pct"/>
            <w:vMerge w:val="restart"/>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324"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551"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401"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804"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评分标准</w:t>
            </w:r>
          </w:p>
        </w:tc>
        <w:tc>
          <w:tcPr>
            <w:tcW w:w="528"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89" w:type="pct"/>
            <w:vMerge w:val="continue"/>
            <w:noWrap w:val="0"/>
            <w:vAlign w:val="center"/>
          </w:tcPr>
          <w:p>
            <w:pPr>
              <w:spacing w:line="360" w:lineRule="exact"/>
              <w:jc w:val="center"/>
              <w:rPr>
                <w:rFonts w:hint="eastAsia" w:cs="宋体"/>
                <w:color w:val="000000"/>
                <w:kern w:val="0"/>
              </w:rPr>
            </w:pPr>
          </w:p>
        </w:tc>
        <w:tc>
          <w:tcPr>
            <w:tcW w:w="324"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551"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401"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804" w:type="pct"/>
            <w:noWrap w:val="0"/>
            <w:vAlign w:val="center"/>
          </w:tcPr>
          <w:p>
            <w:pPr>
              <w:widowControl/>
              <w:spacing w:line="360" w:lineRule="exact"/>
              <w:rPr>
                <w:rFonts w:hint="eastAsia" w:ascii="宋体" w:hAnsi="宋体" w:eastAsia="宋体" w:cs="宋体"/>
              </w:rPr>
            </w:pPr>
            <w:r>
              <w:rPr>
                <w:rFonts w:hint="eastAsia" w:ascii="宋体" w:hAnsi="宋体" w:eastAsia="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eastAsia="宋体" w:cs="宋体"/>
              </w:rPr>
            </w:pPr>
            <w:r>
              <w:rPr>
                <w:rFonts w:hint="eastAsia" w:ascii="宋体" w:hAnsi="宋体" w:eastAsia="宋体" w:cs="宋体"/>
              </w:rPr>
              <w:t>注：报价最低的为基准价。</w:t>
            </w:r>
          </w:p>
        </w:tc>
        <w:tc>
          <w:tcPr>
            <w:tcW w:w="528" w:type="pct"/>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389" w:type="pct"/>
            <w:vMerge w:val="continue"/>
            <w:noWrap w:val="0"/>
            <w:vAlign w:val="center"/>
          </w:tcPr>
          <w:p>
            <w:pPr>
              <w:spacing w:line="360" w:lineRule="exact"/>
              <w:jc w:val="center"/>
              <w:rPr>
                <w:rFonts w:hint="eastAsia" w:cs="宋体"/>
                <w:color w:val="000000"/>
                <w:kern w:val="0"/>
              </w:rPr>
            </w:pPr>
          </w:p>
        </w:tc>
        <w:tc>
          <w:tcPr>
            <w:tcW w:w="688" w:type="dxa"/>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cs="Segoe UI"/>
                <w:color w:val="000000"/>
                <w:kern w:val="0"/>
              </w:rPr>
              <w:t>2</w:t>
            </w:r>
          </w:p>
        </w:tc>
        <w:tc>
          <w:tcPr>
            <w:tcW w:w="1170" w:type="dxa"/>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55</w:t>
            </w:r>
            <w:r>
              <w:rPr>
                <w:rFonts w:hint="eastAsia" w:ascii="宋体" w:hAnsi="宋体" w:cs="Segoe UI"/>
                <w:color w:val="000000"/>
                <w:kern w:val="0"/>
              </w:rPr>
              <w:t>%</w:t>
            </w:r>
          </w:p>
        </w:tc>
        <w:tc>
          <w:tcPr>
            <w:tcW w:w="852" w:type="dxa"/>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cs="Segoe UI"/>
                <w:color w:val="000000"/>
                <w:kern w:val="0"/>
                <w:lang w:val="en-US" w:eastAsia="zh-CN"/>
              </w:rPr>
              <w:t>55</w:t>
            </w:r>
          </w:p>
        </w:tc>
        <w:tc>
          <w:tcPr>
            <w:tcW w:w="5955" w:type="dxa"/>
            <w:noWrap w:val="0"/>
            <w:vAlign w:val="center"/>
          </w:tcPr>
          <w:p>
            <w:pPr>
              <w:widowControl/>
              <w:spacing w:line="360" w:lineRule="exact"/>
              <w:rPr>
                <w:rFonts w:hint="eastAsia" w:ascii="宋体" w:hAnsi="宋体" w:cs="宋体"/>
                <w:color w:val="auto"/>
              </w:rPr>
            </w:pPr>
            <w:r>
              <w:rPr>
                <w:rFonts w:hint="eastAsia" w:ascii="宋体" w:hAnsi="宋体" w:cs="宋体"/>
                <w:color w:val="auto"/>
              </w:rPr>
              <w:t>完全符合招标文件技术参数要求得</w:t>
            </w:r>
            <w:r>
              <w:rPr>
                <w:rFonts w:hint="eastAsia" w:ascii="宋体" w:hAnsi="宋体" w:cs="宋体"/>
                <w:color w:val="auto"/>
                <w:lang w:val="en-US" w:eastAsia="zh-CN"/>
              </w:rPr>
              <w:t>55</w:t>
            </w:r>
            <w:r>
              <w:rPr>
                <w:rFonts w:hint="eastAsia" w:ascii="宋体" w:hAnsi="宋体" w:cs="宋体"/>
                <w:color w:val="auto"/>
              </w:rPr>
              <w:t>分。▲号条款负偏离一项扣</w:t>
            </w:r>
            <w:r>
              <w:rPr>
                <w:rFonts w:hint="eastAsia" w:ascii="宋体" w:hAnsi="宋体" w:cs="宋体"/>
                <w:color w:val="auto"/>
                <w:lang w:val="en-US" w:eastAsia="zh-CN"/>
              </w:rPr>
              <w:t>6</w:t>
            </w:r>
            <w:r>
              <w:rPr>
                <w:rFonts w:hint="eastAsia" w:ascii="宋体" w:hAnsi="宋体" w:cs="宋体"/>
                <w:color w:val="auto"/>
              </w:rPr>
              <w:t>分，一般条款负偏离一项扣</w:t>
            </w:r>
            <w:r>
              <w:rPr>
                <w:rFonts w:hint="eastAsia" w:ascii="宋体" w:hAnsi="宋体" w:cs="宋体"/>
                <w:color w:val="auto"/>
                <w:lang w:val="en-US" w:eastAsia="zh-CN"/>
              </w:rPr>
              <w:t>1</w:t>
            </w:r>
            <w:r>
              <w:rPr>
                <w:rFonts w:hint="eastAsia" w:ascii="宋体" w:hAnsi="宋体" w:cs="宋体"/>
                <w:color w:val="auto"/>
              </w:rPr>
              <w:t>分，扣完为止。（▲号条款共</w:t>
            </w:r>
            <w:r>
              <w:rPr>
                <w:rFonts w:hint="eastAsia" w:ascii="宋体" w:hAnsi="宋体" w:cs="宋体"/>
                <w:color w:val="auto"/>
                <w:lang w:val="en-US" w:eastAsia="zh-CN"/>
              </w:rPr>
              <w:t>5</w:t>
            </w:r>
            <w:r>
              <w:rPr>
                <w:rFonts w:hint="eastAsia" w:ascii="宋体" w:hAnsi="宋体" w:cs="宋体"/>
                <w:color w:val="auto"/>
              </w:rPr>
              <w:t>项，一般条款共</w:t>
            </w:r>
            <w:r>
              <w:rPr>
                <w:rFonts w:hint="eastAsia" w:ascii="宋体" w:hAnsi="宋体" w:cs="宋体"/>
                <w:color w:val="auto"/>
                <w:lang w:val="en-US" w:eastAsia="zh-CN"/>
              </w:rPr>
              <w:t>25</w:t>
            </w:r>
            <w:r>
              <w:rPr>
                <w:rFonts w:hint="eastAsia" w:ascii="宋体" w:hAnsi="宋体" w:cs="宋体"/>
                <w:color w:val="auto"/>
              </w:rPr>
              <w:t>项），</w:t>
            </w:r>
          </w:p>
          <w:p>
            <w:pPr>
              <w:widowControl/>
              <w:spacing w:line="360" w:lineRule="exact"/>
              <w:rPr>
                <w:rFonts w:ascii="宋体" w:hAnsi="宋体" w:cs="宋体"/>
              </w:rPr>
            </w:pPr>
            <w:r>
              <w:rPr>
                <w:rFonts w:hint="eastAsia" w:ascii="宋体" w:hAnsi="宋体" w:cs="宋体"/>
              </w:rPr>
              <w:t>注：（1）▲号条款需提供证明文件（按招标文件要求提供资料,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528" w:type="pct"/>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389" w:type="pct"/>
            <w:vMerge w:val="continue"/>
            <w:noWrap w:val="0"/>
            <w:vAlign w:val="center"/>
          </w:tcPr>
          <w:p>
            <w:pPr>
              <w:spacing w:line="360" w:lineRule="exact"/>
              <w:jc w:val="center"/>
              <w:rPr>
                <w:rFonts w:hint="eastAsia" w:cs="宋体"/>
                <w:color w:val="000000"/>
                <w:kern w:val="0"/>
              </w:rPr>
            </w:pPr>
          </w:p>
        </w:tc>
        <w:tc>
          <w:tcPr>
            <w:tcW w:w="324" w:type="pct"/>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eastAsia="宋体" w:cs="Segoe UI"/>
                <w:color w:val="333333"/>
                <w:kern w:val="0"/>
                <w:lang w:val="en-US" w:eastAsia="zh-CN"/>
              </w:rPr>
              <w:t>3</w:t>
            </w:r>
          </w:p>
        </w:tc>
        <w:tc>
          <w:tcPr>
            <w:tcW w:w="551" w:type="pct"/>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业绩</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7</w:t>
            </w:r>
            <w:r>
              <w:rPr>
                <w:rFonts w:hint="eastAsia" w:ascii="宋体" w:hAnsi="宋体" w:eastAsia="宋体" w:cs="宋体"/>
              </w:rPr>
              <w:t>%</w:t>
            </w:r>
          </w:p>
        </w:tc>
        <w:tc>
          <w:tcPr>
            <w:tcW w:w="401" w:type="pct"/>
            <w:noWrap w:val="0"/>
            <w:vAlign w:val="center"/>
          </w:tcPr>
          <w:p>
            <w:pPr>
              <w:widowControl/>
              <w:spacing w:line="360" w:lineRule="exact"/>
              <w:jc w:val="center"/>
              <w:rPr>
                <w:rFonts w:hint="eastAsia" w:ascii="宋体" w:hAnsi="宋体" w:eastAsia="宋体" w:cs="宋体"/>
                <w:lang w:val="en-US" w:eastAsia="zh-CN"/>
              </w:rPr>
            </w:pPr>
            <w:r>
              <w:rPr>
                <w:rFonts w:hint="eastAsia" w:ascii="宋体" w:hAnsi="宋体" w:cs="宋体"/>
                <w:lang w:val="en-US" w:eastAsia="zh-CN"/>
              </w:rPr>
              <w:t>7</w:t>
            </w:r>
          </w:p>
        </w:tc>
        <w:tc>
          <w:tcPr>
            <w:tcW w:w="2804" w:type="pct"/>
            <w:noWrap w:val="0"/>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自2021年1月1日（含）至今，以合同签订时间为准，</w:t>
            </w:r>
            <w:r>
              <w:rPr>
                <w:rFonts w:hint="eastAsia" w:ascii="宋体" w:hAnsi="宋体" w:eastAsia="宋体" w:cs="宋体"/>
              </w:rPr>
              <w:t>投标人</w:t>
            </w:r>
            <w:r>
              <w:rPr>
                <w:rFonts w:hint="eastAsia" w:ascii="宋体" w:hAnsi="宋体" w:eastAsia="宋体" w:cs="宋体"/>
                <w:lang w:val="en-US" w:eastAsia="zh-CN"/>
              </w:rPr>
              <w:t xml:space="preserve">每具有一个同类型产品业绩的得3.5分，最高得7分。 </w:t>
            </w:r>
          </w:p>
          <w:p>
            <w:pPr>
              <w:widowControl/>
              <w:spacing w:line="360" w:lineRule="exact"/>
              <w:rPr>
                <w:rFonts w:ascii="宋体" w:hAnsi="宋体" w:cs="宋体"/>
              </w:rPr>
            </w:pPr>
            <w:r>
              <w:rPr>
                <w:rFonts w:hint="eastAsia" w:ascii="宋体" w:hAnsi="宋体" w:eastAsia="宋体" w:cs="宋体"/>
                <w:lang w:val="en-US" w:eastAsia="zh-CN"/>
              </w:rPr>
              <w:t>注：提供项目合同复印件或中标（成交）通知书复印件并加盖投标人公章（鲜章）。</w:t>
            </w:r>
          </w:p>
        </w:tc>
        <w:tc>
          <w:tcPr>
            <w:tcW w:w="528" w:type="pct"/>
            <w:noWrap w:val="0"/>
            <w:vAlign w:val="center"/>
          </w:tcPr>
          <w:p>
            <w:pPr>
              <w:widowControl/>
              <w:spacing w:line="360" w:lineRule="exact"/>
              <w:jc w:val="center"/>
              <w:rPr>
                <w:rFonts w:ascii="宋体" w:hAnsi="宋体" w:cs="Segoe UI"/>
                <w:color w:val="000000"/>
                <w:kern w:val="0"/>
              </w:rPr>
            </w:pPr>
            <w:r>
              <w:rPr>
                <w:rFonts w:hint="eastAsia" w:ascii="宋体" w:hAnsi="宋体" w:eastAsia="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389" w:type="pct"/>
            <w:vMerge w:val="continue"/>
            <w:noWrap w:val="0"/>
            <w:vAlign w:val="center"/>
          </w:tcPr>
          <w:p>
            <w:pPr>
              <w:spacing w:line="360" w:lineRule="exact"/>
              <w:jc w:val="center"/>
              <w:rPr>
                <w:rFonts w:hint="eastAsia" w:cs="宋体"/>
                <w:color w:val="000000"/>
                <w:kern w:val="0"/>
              </w:rPr>
            </w:pPr>
          </w:p>
        </w:tc>
        <w:tc>
          <w:tcPr>
            <w:tcW w:w="324" w:type="pct"/>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eastAsia="宋体" w:cs="Segoe UI"/>
                <w:color w:val="333333"/>
                <w:kern w:val="0"/>
                <w:lang w:val="en-US" w:eastAsia="zh-CN"/>
              </w:rPr>
              <w:t>4</w:t>
            </w:r>
          </w:p>
        </w:tc>
        <w:tc>
          <w:tcPr>
            <w:tcW w:w="551" w:type="pct"/>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售后服务方案</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8</w:t>
            </w:r>
            <w:r>
              <w:rPr>
                <w:rFonts w:hint="eastAsia" w:ascii="宋体" w:hAnsi="宋体" w:eastAsia="宋体" w:cs="宋体"/>
              </w:rPr>
              <w:t>%</w:t>
            </w:r>
          </w:p>
        </w:tc>
        <w:tc>
          <w:tcPr>
            <w:tcW w:w="401" w:type="pct"/>
            <w:noWrap w:val="0"/>
            <w:vAlign w:val="center"/>
          </w:tcPr>
          <w:p>
            <w:pPr>
              <w:widowControl/>
              <w:spacing w:line="360" w:lineRule="exact"/>
              <w:jc w:val="center"/>
              <w:rPr>
                <w:rFonts w:ascii="宋体" w:hAnsi="宋体" w:cs="Segoe UI"/>
                <w:color w:val="333333"/>
                <w:kern w:val="0"/>
              </w:rPr>
            </w:pPr>
            <w:r>
              <w:rPr>
                <w:rFonts w:hint="eastAsia" w:ascii="宋体" w:hAnsi="宋体" w:eastAsia="宋体" w:cs="宋体"/>
                <w:lang w:val="en-US" w:eastAsia="zh-CN"/>
              </w:rPr>
              <w:t>8</w:t>
            </w:r>
          </w:p>
        </w:tc>
        <w:tc>
          <w:tcPr>
            <w:tcW w:w="2804" w:type="pct"/>
            <w:noWrap w:val="0"/>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4</w:t>
            </w:r>
            <w:r>
              <w:rPr>
                <w:rFonts w:hint="eastAsia" w:ascii="宋体" w:hAnsi="宋体" w:eastAsia="宋体" w:cs="宋体"/>
              </w:rPr>
              <w:t>分，每缺少一项的扣</w:t>
            </w:r>
            <w:r>
              <w:rPr>
                <w:rFonts w:hint="eastAsia" w:ascii="宋体" w:hAnsi="宋体" w:eastAsia="宋体" w:cs="宋体"/>
                <w:lang w:val="en-US" w:eastAsia="zh-CN"/>
              </w:rPr>
              <w:t>1</w:t>
            </w:r>
            <w:r>
              <w:rPr>
                <w:rFonts w:hint="eastAsia" w:ascii="宋体" w:hAnsi="宋体" w:eastAsia="宋体" w:cs="宋体"/>
              </w:rPr>
              <w:t>分，每有一项存在内容缺陷扣</w:t>
            </w:r>
            <w:r>
              <w:rPr>
                <w:rFonts w:hint="eastAsia" w:ascii="宋体" w:hAnsi="宋体" w:eastAsia="宋体" w:cs="宋体"/>
                <w:lang w:val="en-US" w:eastAsia="zh-CN"/>
              </w:rPr>
              <w:t>0.5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528" w:type="pct"/>
            <w:noWrap w:val="0"/>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pStyle w:val="2"/>
        <w:rPr>
          <w:rFonts w:hint="eastAsia"/>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1"/>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5"/>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4677B2B"/>
    <w:rsid w:val="15B626DC"/>
    <w:rsid w:val="17E0197B"/>
    <w:rsid w:val="18472232"/>
    <w:rsid w:val="18B93B85"/>
    <w:rsid w:val="1A707F41"/>
    <w:rsid w:val="1DE05766"/>
    <w:rsid w:val="1E997E27"/>
    <w:rsid w:val="1F19224C"/>
    <w:rsid w:val="22827069"/>
    <w:rsid w:val="25933A00"/>
    <w:rsid w:val="272B37A3"/>
    <w:rsid w:val="27517D00"/>
    <w:rsid w:val="2D7F46F7"/>
    <w:rsid w:val="2DE5580E"/>
    <w:rsid w:val="2DEC7015"/>
    <w:rsid w:val="31FB7325"/>
    <w:rsid w:val="3459137F"/>
    <w:rsid w:val="351D2E6B"/>
    <w:rsid w:val="35E40AE0"/>
    <w:rsid w:val="368F2498"/>
    <w:rsid w:val="395149AF"/>
    <w:rsid w:val="39CE1F6A"/>
    <w:rsid w:val="3DA970F6"/>
    <w:rsid w:val="3DE462AE"/>
    <w:rsid w:val="444A2A6A"/>
    <w:rsid w:val="45FE0BC5"/>
    <w:rsid w:val="47A53522"/>
    <w:rsid w:val="49A664ED"/>
    <w:rsid w:val="4B671727"/>
    <w:rsid w:val="4C76008D"/>
    <w:rsid w:val="4F954CC0"/>
    <w:rsid w:val="51E40B98"/>
    <w:rsid w:val="59213BB4"/>
    <w:rsid w:val="592B53E5"/>
    <w:rsid w:val="5B1829CF"/>
    <w:rsid w:val="5DC85630"/>
    <w:rsid w:val="5F381B5D"/>
    <w:rsid w:val="60021495"/>
    <w:rsid w:val="622F0396"/>
    <w:rsid w:val="63D266D5"/>
    <w:rsid w:val="65B66BE6"/>
    <w:rsid w:val="6CA02C6A"/>
    <w:rsid w:val="700B2FC9"/>
    <w:rsid w:val="734A410E"/>
    <w:rsid w:val="735C33F9"/>
    <w:rsid w:val="74E17C0A"/>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4">
    <w:name w:val="toc 7"/>
    <w:basedOn w:val="1"/>
    <w:next w:val="1"/>
    <w:qFormat/>
    <w:uiPriority w:val="0"/>
    <w:pPr>
      <w:ind w:left="1200"/>
    </w:pPr>
    <w:rPr>
      <w:rFonts w:ascii="Calibri"/>
    </w:rPr>
  </w:style>
  <w:style w:type="paragraph" w:styleId="5">
    <w:name w:val="Body Text"/>
    <w:basedOn w:val="1"/>
    <w:next w:val="1"/>
    <w:link w:val="18"/>
    <w:unhideWhenUsed/>
    <w:qFormat/>
    <w:uiPriority w:val="99"/>
    <w:pPr>
      <w:spacing w:after="120"/>
    </w:pPr>
    <w:rPr>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98"/>
    <w:pPr>
      <w:spacing w:before="240" w:after="60"/>
      <w:jc w:val="center"/>
      <w:outlineLvl w:val="0"/>
    </w:pPr>
    <w:rPr>
      <w:rFonts w:ascii="等线 Light" w:hAnsi="等线 Light"/>
      <w:b/>
      <w:bCs/>
      <w:sz w:val="32"/>
      <w:szCs w:val="32"/>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Default"/>
    <w:basedOn w:val="10"/>
    <w:next w:val="3"/>
    <w:qFormat/>
    <w:uiPriority w:val="99"/>
    <w:pPr>
      <w:autoSpaceDE w:val="0"/>
      <w:autoSpaceDN w:val="0"/>
      <w:adjustRightInd w:val="0"/>
    </w:pPr>
    <w:rPr>
      <w:rFonts w:ascii="宋体" w:hAnsi="Times New Roman" w:cs="宋体"/>
      <w:color w:val="000000"/>
      <w:sz w:val="24"/>
      <w:szCs w:val="24"/>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3"/>
    <w:link w:val="5"/>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1</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SFY-12</cp:lastModifiedBy>
  <cp:lastPrinted>2024-07-31T00:40:00Z</cp:lastPrinted>
  <dcterms:modified xsi:type="dcterms:W3CDTF">2024-09-06T02:39:47Z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