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50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35" w:type="pct"/>
            <w:vAlign w:val="center"/>
          </w:tcPr>
          <w:p>
            <w:pPr>
              <w:spacing w:line="360" w:lineRule="exact"/>
              <w:jc w:val="center"/>
              <w:rPr>
                <w:rFonts w:hint="eastAsia" w:ascii="宋体" w:hAnsi="宋体" w:eastAsia="宋体" w:cs="宋体"/>
              </w:rPr>
            </w:pPr>
            <w:r>
              <w:rPr>
                <w:rFonts w:hint="eastAsia" w:ascii="宋体" w:hAnsi="宋体" w:eastAsia="宋体" w:cs="宋体"/>
              </w:rPr>
              <w:t>项目名称</w:t>
            </w:r>
          </w:p>
        </w:tc>
        <w:tc>
          <w:tcPr>
            <w:tcW w:w="896" w:type="pct"/>
            <w:vAlign w:val="center"/>
          </w:tcPr>
          <w:p>
            <w:pPr>
              <w:spacing w:line="360" w:lineRule="exact"/>
              <w:jc w:val="center"/>
              <w:rPr>
                <w:rFonts w:hint="eastAsia" w:ascii="宋体" w:hAnsi="宋体" w:eastAsia="宋体" w:cs="宋体"/>
              </w:rPr>
            </w:pPr>
            <w:r>
              <w:rPr>
                <w:rFonts w:hint="eastAsia" w:ascii="宋体" w:hAnsi="宋体" w:eastAsia="宋体" w:cs="宋体"/>
              </w:rPr>
              <w:t>数量</w:t>
            </w:r>
          </w:p>
        </w:tc>
        <w:tc>
          <w:tcPr>
            <w:tcW w:w="1167" w:type="pct"/>
            <w:vAlign w:val="center"/>
          </w:tcPr>
          <w:p>
            <w:pPr>
              <w:spacing w:line="360" w:lineRule="exact"/>
              <w:jc w:val="center"/>
              <w:rPr>
                <w:rFonts w:hint="eastAsia" w:ascii="宋体" w:hAnsi="宋体" w:eastAsia="宋体" w:cs="宋体"/>
              </w:rPr>
            </w:pPr>
            <w:r>
              <w:rPr>
                <w:rFonts w:hint="eastAsia" w:ascii="宋体" w:hAnsi="宋体" w:eastAsia="宋体" w:cs="宋体"/>
              </w:rPr>
              <w:t>最高限价</w:t>
            </w:r>
          </w:p>
          <w:p>
            <w:pPr>
              <w:spacing w:line="360" w:lineRule="exact"/>
              <w:jc w:val="center"/>
              <w:rPr>
                <w:rFonts w:hint="eastAsia" w:ascii="宋体" w:hAnsi="宋体" w:eastAsia="宋体" w:cs="宋体"/>
              </w:rPr>
            </w:pPr>
            <w:r>
              <w:rPr>
                <w:rFonts w:hint="eastAsia" w:ascii="宋体" w:hAnsi="宋体" w:eastAsia="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5" w:type="pct"/>
            <w:vAlign w:val="center"/>
          </w:tcPr>
          <w:p>
            <w:pPr>
              <w:spacing w:line="360" w:lineRule="exact"/>
              <w:jc w:val="center"/>
              <w:rPr>
                <w:rFonts w:hint="eastAsia" w:ascii="宋体" w:hAnsi="宋体" w:eastAsia="宋体" w:cs="宋体"/>
              </w:rPr>
            </w:pPr>
            <w:r>
              <w:rPr>
                <w:rFonts w:hint="eastAsia" w:ascii="宋体" w:hAnsi="宋体" w:eastAsia="宋体" w:cs="宋体"/>
              </w:rPr>
              <w:t>全自动化学发光测定仪（血栓</w:t>
            </w:r>
            <w:r>
              <w:rPr>
                <w:rFonts w:hint="eastAsia" w:ascii="宋体" w:hAnsi="宋体" w:eastAsia="宋体" w:cs="宋体"/>
                <w:lang w:val="en-US" w:eastAsia="zh-CN"/>
              </w:rPr>
              <w:t>标志物检测</w:t>
            </w:r>
            <w:r>
              <w:rPr>
                <w:rFonts w:hint="eastAsia" w:ascii="宋体" w:hAnsi="宋体" w:eastAsia="宋体" w:cs="宋体"/>
              </w:rPr>
              <w:t>）</w:t>
            </w:r>
          </w:p>
        </w:tc>
        <w:tc>
          <w:tcPr>
            <w:tcW w:w="896" w:type="pct"/>
            <w:vAlign w:val="center"/>
          </w:tcPr>
          <w:p>
            <w:pPr>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台</w:t>
            </w:r>
          </w:p>
        </w:tc>
        <w:tc>
          <w:tcPr>
            <w:tcW w:w="1167"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8</w:t>
            </w:r>
          </w:p>
        </w:tc>
      </w:tr>
    </w:tbl>
    <w:p>
      <w:pPr>
        <w:pStyle w:val="13"/>
        <w:jc w:val="both"/>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w:t>
      </w:r>
      <w:r>
        <w:rPr>
          <w:rFonts w:hint="eastAsia" w:ascii="宋体" w:hAnsi="宋体" w:eastAsia="宋体" w:cs="宋体"/>
          <w:b w:val="0"/>
          <w:bCs/>
          <w:color w:val="000000"/>
          <w:kern w:val="0"/>
          <w:lang w:val="en-US" w:eastAsia="zh-CN"/>
        </w:rPr>
        <w:t>▲</w:t>
      </w:r>
      <w:r>
        <w:rPr>
          <w:rFonts w:hint="eastAsia" w:hAnsi="宋体" w:eastAsia="宋体" w:cs="宋体"/>
          <w:b w:val="0"/>
          <w:bCs/>
          <w:color w:val="000000"/>
          <w:kern w:val="0"/>
          <w:lang w:val="en-US" w:eastAsia="zh-CN"/>
        </w:rPr>
        <w:t>条款为重要技术条款，评分分值占比较高。</w:t>
      </w:r>
      <w:r>
        <w:rPr>
          <w:rFonts w:hint="eastAsia"/>
        </w:rPr>
        <w:t>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spacing w:line="360" w:lineRule="exact"/>
        <w:rPr>
          <w:rFonts w:hint="eastAsia" w:ascii="宋体" w:hAnsi="宋体" w:eastAsia="宋体" w:cs="宋体"/>
          <w:color w:val="000000"/>
          <w:kern w:val="0"/>
          <w:lang w:eastAsia="zh-CN"/>
        </w:rPr>
      </w:pPr>
      <w:r>
        <w:rPr>
          <w:rFonts w:hint="eastAsia" w:ascii="宋体" w:hAnsi="宋体" w:cs="宋体"/>
          <w:color w:val="000000"/>
          <w:kern w:val="0"/>
          <w:lang w:val="en-US" w:eastAsia="zh-CN"/>
        </w:rPr>
        <w:t>1.★</w:t>
      </w:r>
      <w:r>
        <w:rPr>
          <w:rFonts w:hint="eastAsia" w:ascii="宋体" w:hAnsi="宋体" w:cs="宋体"/>
          <w:color w:val="000000"/>
          <w:kern w:val="0"/>
        </w:rPr>
        <w:t>检测方法：全自动化学发光法</w:t>
      </w:r>
      <w:r>
        <w:rPr>
          <w:rFonts w:hint="eastAsia" w:ascii="宋体" w:hAnsi="宋体" w:cs="宋体"/>
          <w:color w:val="000000"/>
          <w:kern w:val="0"/>
          <w:lang w:eastAsia="zh-CN"/>
        </w:rPr>
        <w:t>。</w:t>
      </w:r>
    </w:p>
    <w:p>
      <w:pPr>
        <w:spacing w:line="360" w:lineRule="exact"/>
        <w:rPr>
          <w:rFonts w:hint="eastAsia" w:ascii="宋体" w:hAnsi="宋体" w:eastAsia="宋体" w:cs="宋体"/>
          <w:color w:val="000000"/>
          <w:kern w:val="0"/>
          <w:lang w:eastAsia="zh-CN"/>
        </w:rPr>
      </w:pPr>
      <w:r>
        <w:rPr>
          <w:rFonts w:hint="eastAsia" w:ascii="宋体" w:hAnsi="宋体" w:cs="宋体"/>
          <w:color w:val="000000"/>
          <w:kern w:val="0"/>
          <w:lang w:val="en-US" w:eastAsia="zh-CN"/>
        </w:rPr>
        <w:t>2.</w:t>
      </w:r>
      <w:r>
        <w:rPr>
          <w:rFonts w:hint="eastAsia" w:ascii="宋体" w:hAnsi="宋体" w:cs="宋体"/>
          <w:color w:val="000000"/>
          <w:kern w:val="0"/>
        </w:rPr>
        <w:t>检测项目</w:t>
      </w:r>
      <w:r>
        <w:rPr>
          <w:rFonts w:hint="eastAsia" w:ascii="宋体" w:hAnsi="宋体" w:cs="宋体"/>
          <w:color w:val="000000"/>
          <w:kern w:val="0"/>
          <w:lang w:val="en-US" w:eastAsia="zh-CN"/>
        </w:rPr>
        <w:t>至少包括</w:t>
      </w:r>
      <w:r>
        <w:rPr>
          <w:rFonts w:hint="eastAsia" w:ascii="宋体" w:hAnsi="宋体" w:cs="宋体"/>
          <w:color w:val="000000"/>
          <w:kern w:val="0"/>
        </w:rPr>
        <w:t>凝血酶-抗凝血酶复合物（TAT）、纤溶酶-α2 纤溶酶抑制剂复合物（PIC）、血栓调节蛋白（TM）、组织型纤溶酶原激活物-纤溶酶原激活物抑制剂复合物（t-PAIC）等血栓标志物</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可自动识别扫描样本条码，支持与LIS双向通讯</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具备急诊位或急诊通道，急诊标本优先检测</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5.</w:t>
      </w:r>
      <w:r>
        <w:rPr>
          <w:rFonts w:hint="eastAsia" w:ascii="宋体" w:hAnsi="宋体" w:cs="宋体"/>
          <w:color w:val="000000"/>
          <w:kern w:val="0"/>
        </w:rPr>
        <w:t>样本位≥30个，</w:t>
      </w:r>
      <w:r>
        <w:rPr>
          <w:rFonts w:hint="eastAsia" w:ascii="宋体" w:hAnsi="宋体" w:cs="宋体"/>
          <w:color w:val="000000"/>
          <w:kern w:val="0"/>
          <w:lang w:val="en-US" w:eastAsia="zh-CN"/>
        </w:rPr>
        <w:t>具有</w:t>
      </w:r>
      <w:r>
        <w:rPr>
          <w:rFonts w:hint="eastAsia" w:ascii="宋体" w:hAnsi="宋体" w:cs="宋体"/>
          <w:color w:val="000000"/>
          <w:kern w:val="0"/>
        </w:rPr>
        <w:t>自动连续进样</w:t>
      </w:r>
      <w:r>
        <w:rPr>
          <w:rFonts w:hint="eastAsia" w:ascii="宋体" w:hAnsi="宋体" w:cs="宋体"/>
          <w:color w:val="000000"/>
          <w:kern w:val="0"/>
          <w:lang w:val="en-US" w:eastAsia="zh-CN"/>
        </w:rPr>
        <w:t>功能</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6.</w:t>
      </w:r>
      <w:r>
        <w:rPr>
          <w:rFonts w:hint="eastAsia" w:ascii="宋体" w:hAnsi="宋体" w:cs="宋体"/>
          <w:color w:val="000000"/>
          <w:kern w:val="0"/>
        </w:rPr>
        <w:t>单模块检测速度≥80测试/小时</w:t>
      </w:r>
      <w:r>
        <w:rPr>
          <w:rFonts w:hint="eastAsia" w:ascii="宋体" w:hAnsi="宋体" w:cs="宋体"/>
          <w:color w:val="000000"/>
          <w:kern w:val="0"/>
          <w:lang w:eastAsia="zh-CN"/>
        </w:rPr>
        <w:t>。</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7.</w:t>
      </w:r>
      <w:r>
        <w:rPr>
          <w:rFonts w:hint="eastAsia" w:ascii="宋体" w:hAnsi="宋体" w:cs="宋体"/>
          <w:color w:val="000000"/>
          <w:kern w:val="0"/>
        </w:rPr>
        <w:t>冷藏试剂位（温度2-8℃）≥15个，试剂可24小时在机冷藏</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8.</w:t>
      </w:r>
      <w:r>
        <w:rPr>
          <w:rFonts w:hint="eastAsia" w:ascii="宋体" w:hAnsi="宋体" w:cs="宋体"/>
          <w:color w:val="000000"/>
          <w:kern w:val="0"/>
        </w:rPr>
        <w:t>TAT测线性范围0.4-120ng/mL；</w:t>
      </w:r>
      <w:r>
        <w:rPr>
          <w:rFonts w:hint="eastAsia" w:ascii="宋体" w:hAnsi="宋体" w:cs="宋体"/>
          <w:color w:val="000000"/>
          <w:kern w:val="0"/>
          <w:lang w:val="en-US" w:eastAsia="zh-CN"/>
        </w:rPr>
        <w:t>检出限：≤0.4</w:t>
      </w:r>
      <w:r>
        <w:rPr>
          <w:rFonts w:hint="eastAsia" w:ascii="宋体" w:hAnsi="宋体" w:cs="宋体"/>
          <w:color w:val="000000"/>
          <w:kern w:val="0"/>
        </w:rPr>
        <w:t>ng/mL</w:t>
      </w:r>
      <w:r>
        <w:rPr>
          <w:rFonts w:hint="eastAsia" w:ascii="宋体" w:hAnsi="宋体" w:cs="宋体"/>
          <w:color w:val="000000"/>
          <w:kern w:val="0"/>
          <w:lang w:eastAsia="zh-CN"/>
        </w:rPr>
        <w:t>；</w:t>
      </w:r>
      <w:r>
        <w:rPr>
          <w:rFonts w:hint="eastAsia" w:ascii="宋体" w:hAnsi="宋体" w:cs="宋体"/>
          <w:color w:val="000000"/>
          <w:kern w:val="0"/>
          <w:lang w:val="en-US" w:eastAsia="zh-CN"/>
        </w:rPr>
        <w:t>批内</w:t>
      </w:r>
      <w:r>
        <w:rPr>
          <w:rFonts w:hint="eastAsia" w:ascii="宋体" w:hAnsi="宋体" w:cs="宋体"/>
          <w:color w:val="000000"/>
          <w:kern w:val="0"/>
          <w:lang w:eastAsia="zh-CN"/>
        </w:rPr>
        <w:t>精密度：</w:t>
      </w:r>
      <w:r>
        <w:rPr>
          <w:rFonts w:hint="eastAsia" w:ascii="宋体" w:hAnsi="宋体" w:cs="宋体"/>
          <w:color w:val="000000"/>
          <w:kern w:val="0"/>
          <w:lang w:val="en-US" w:eastAsia="zh-CN"/>
        </w:rPr>
        <w:t>≤8%。</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9.</w:t>
      </w:r>
      <w:r>
        <w:rPr>
          <w:rFonts w:hint="eastAsia" w:ascii="宋体" w:hAnsi="宋体" w:cs="宋体"/>
          <w:color w:val="000000"/>
          <w:kern w:val="0"/>
        </w:rPr>
        <w:t>PIC检测线性范围0.05-40ug/mL；</w:t>
      </w:r>
      <w:r>
        <w:rPr>
          <w:rFonts w:hint="eastAsia" w:ascii="宋体" w:hAnsi="宋体" w:cs="宋体"/>
          <w:color w:val="000000"/>
          <w:kern w:val="0"/>
          <w:lang w:val="en-US" w:eastAsia="zh-CN"/>
        </w:rPr>
        <w:t>检出限：≤</w:t>
      </w:r>
      <w:r>
        <w:rPr>
          <w:rFonts w:hint="eastAsia" w:ascii="宋体" w:hAnsi="宋体" w:cs="宋体"/>
          <w:color w:val="000000"/>
          <w:kern w:val="0"/>
        </w:rPr>
        <w:t>0.05ug/</w:t>
      </w:r>
      <w:r>
        <w:rPr>
          <w:rFonts w:hint="eastAsia" w:ascii="宋体" w:hAnsi="宋体" w:cs="宋体"/>
          <w:color w:val="000000"/>
          <w:kern w:val="0"/>
          <w:lang w:val="en-US" w:eastAsia="zh-CN"/>
        </w:rPr>
        <w:t>mL；批内</w:t>
      </w:r>
      <w:r>
        <w:rPr>
          <w:rFonts w:hint="eastAsia" w:ascii="宋体" w:hAnsi="宋体" w:cs="宋体"/>
          <w:color w:val="000000"/>
          <w:kern w:val="0"/>
          <w:lang w:eastAsia="zh-CN"/>
        </w:rPr>
        <w:t>精密度：</w:t>
      </w:r>
      <w:r>
        <w:rPr>
          <w:rFonts w:hint="eastAsia" w:ascii="宋体" w:hAnsi="宋体" w:cs="宋体"/>
          <w:color w:val="000000"/>
          <w:kern w:val="0"/>
          <w:lang w:val="en-US" w:eastAsia="zh-CN"/>
        </w:rPr>
        <w:t>≤8%。</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10.</w:t>
      </w:r>
      <w:r>
        <w:rPr>
          <w:rFonts w:hint="eastAsia" w:ascii="宋体" w:hAnsi="宋体" w:cs="宋体"/>
          <w:color w:val="000000"/>
          <w:kern w:val="0"/>
        </w:rPr>
        <w:t>TM检测线性范围1.0-200ng/mL；</w:t>
      </w:r>
      <w:r>
        <w:rPr>
          <w:rFonts w:hint="eastAsia" w:ascii="宋体" w:hAnsi="宋体" w:cs="宋体"/>
          <w:color w:val="000000"/>
          <w:kern w:val="0"/>
          <w:lang w:val="en-US" w:eastAsia="zh-CN"/>
        </w:rPr>
        <w:t>检出限：≤1.0</w:t>
      </w:r>
      <w:r>
        <w:rPr>
          <w:rFonts w:hint="eastAsia" w:ascii="宋体" w:hAnsi="宋体" w:cs="宋体"/>
          <w:color w:val="000000"/>
          <w:kern w:val="0"/>
        </w:rPr>
        <w:t>ng/mL</w:t>
      </w:r>
      <w:r>
        <w:rPr>
          <w:rFonts w:hint="eastAsia" w:ascii="宋体" w:hAnsi="宋体" w:cs="宋体"/>
          <w:color w:val="000000"/>
          <w:kern w:val="0"/>
          <w:lang w:eastAsia="zh-CN"/>
        </w:rPr>
        <w:t>；</w:t>
      </w:r>
      <w:r>
        <w:rPr>
          <w:rFonts w:hint="eastAsia" w:ascii="宋体" w:hAnsi="宋体" w:cs="宋体"/>
          <w:color w:val="000000"/>
          <w:kern w:val="0"/>
          <w:lang w:val="en-US" w:eastAsia="zh-CN"/>
        </w:rPr>
        <w:t>批内</w:t>
      </w:r>
      <w:r>
        <w:rPr>
          <w:rFonts w:hint="eastAsia" w:ascii="宋体" w:hAnsi="宋体" w:cs="宋体"/>
          <w:color w:val="000000"/>
          <w:kern w:val="0"/>
          <w:lang w:eastAsia="zh-CN"/>
        </w:rPr>
        <w:t>精密度：</w:t>
      </w:r>
      <w:r>
        <w:rPr>
          <w:rFonts w:hint="eastAsia" w:ascii="宋体" w:hAnsi="宋体" w:cs="宋体"/>
          <w:color w:val="000000"/>
          <w:kern w:val="0"/>
          <w:lang w:val="en-US" w:eastAsia="zh-CN"/>
        </w:rPr>
        <w:t>≤8%。</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11.</w:t>
      </w:r>
      <w:r>
        <w:rPr>
          <w:rFonts w:hint="eastAsia" w:ascii="宋体" w:hAnsi="宋体" w:cs="宋体"/>
          <w:color w:val="000000"/>
          <w:kern w:val="0"/>
        </w:rPr>
        <w:t>tPAIC检测线性范围1.0-100ng/mL；</w:t>
      </w:r>
      <w:r>
        <w:rPr>
          <w:rFonts w:hint="eastAsia" w:ascii="宋体" w:hAnsi="宋体" w:cs="宋体"/>
          <w:color w:val="000000"/>
          <w:kern w:val="0"/>
          <w:lang w:val="en-US" w:eastAsia="zh-CN"/>
        </w:rPr>
        <w:t>检出限：≤1.0</w:t>
      </w:r>
      <w:r>
        <w:rPr>
          <w:rFonts w:hint="eastAsia" w:ascii="宋体" w:hAnsi="宋体" w:cs="宋体"/>
          <w:color w:val="000000"/>
          <w:kern w:val="0"/>
        </w:rPr>
        <w:t>ng/mL</w:t>
      </w:r>
      <w:r>
        <w:rPr>
          <w:rFonts w:hint="eastAsia" w:ascii="宋体" w:hAnsi="宋体" w:cs="宋体"/>
          <w:color w:val="000000"/>
          <w:kern w:val="0"/>
          <w:lang w:eastAsia="zh-CN"/>
        </w:rPr>
        <w:t>；</w:t>
      </w:r>
      <w:r>
        <w:rPr>
          <w:rFonts w:hint="eastAsia" w:ascii="宋体" w:hAnsi="宋体" w:cs="宋体"/>
          <w:color w:val="000000"/>
          <w:kern w:val="0"/>
          <w:lang w:val="en-US" w:eastAsia="zh-CN"/>
        </w:rPr>
        <w:t>批内</w:t>
      </w:r>
      <w:r>
        <w:rPr>
          <w:rFonts w:hint="eastAsia" w:ascii="宋体" w:hAnsi="宋体" w:cs="宋体"/>
          <w:color w:val="000000"/>
          <w:kern w:val="0"/>
          <w:lang w:eastAsia="zh-CN"/>
        </w:rPr>
        <w:t>精密度：</w:t>
      </w:r>
      <w:r>
        <w:rPr>
          <w:rFonts w:hint="eastAsia" w:ascii="宋体" w:hAnsi="宋体" w:cs="宋体"/>
          <w:color w:val="000000"/>
          <w:kern w:val="0"/>
          <w:lang w:val="en-US" w:eastAsia="zh-CN"/>
        </w:rPr>
        <w:t>≤8%。</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12.</w:t>
      </w:r>
      <w:r>
        <w:rPr>
          <w:rFonts w:hint="eastAsia" w:ascii="宋体" w:hAnsi="宋体" w:cs="宋体"/>
          <w:color w:val="000000"/>
          <w:kern w:val="0"/>
        </w:rPr>
        <w:t>样本用量：单项目所需吸样量≤20uL，最低样本量≤250ul</w:t>
      </w:r>
      <w:r>
        <w:rPr>
          <w:rFonts w:hint="eastAsia" w:ascii="宋体" w:hAnsi="宋体" w:cs="宋体"/>
          <w:color w:val="000000"/>
          <w:kern w:val="0"/>
          <w:lang w:eastAsia="zh-CN"/>
        </w:rPr>
        <w:t>。</w:t>
      </w:r>
    </w:p>
    <w:p>
      <w:pPr>
        <w:spacing w:line="360" w:lineRule="exact"/>
        <w:rPr>
          <w:rFonts w:hint="eastAsia" w:ascii="宋体" w:hAnsi="宋体" w:cs="宋体"/>
          <w:color w:val="000000"/>
          <w:kern w:val="0"/>
        </w:rPr>
      </w:pPr>
      <w:r>
        <w:rPr>
          <w:rFonts w:hint="eastAsia" w:ascii="宋体" w:hAnsi="宋体" w:cs="宋体"/>
          <w:color w:val="000000"/>
          <w:kern w:val="0"/>
          <w:lang w:val="en-US" w:eastAsia="zh-CN"/>
        </w:rPr>
        <w:t>13.</w:t>
      </w:r>
      <w:r>
        <w:rPr>
          <w:rFonts w:hint="eastAsia" w:ascii="宋体" w:hAnsi="宋体" w:cs="宋体"/>
          <w:color w:val="000000"/>
          <w:kern w:val="0"/>
        </w:rPr>
        <w:t>试剂</w:t>
      </w:r>
      <w:r>
        <w:rPr>
          <w:rFonts w:hint="eastAsia" w:ascii="宋体" w:hAnsi="宋体" w:cs="宋体"/>
          <w:color w:val="000000"/>
          <w:kern w:val="0"/>
          <w:lang w:val="en-US" w:eastAsia="zh-CN"/>
        </w:rPr>
        <w:t>有</w:t>
      </w:r>
      <w:r>
        <w:rPr>
          <w:rFonts w:hint="eastAsia" w:ascii="宋体" w:hAnsi="宋体" w:cs="宋体"/>
          <w:color w:val="000000"/>
          <w:kern w:val="0"/>
        </w:rPr>
        <w:t>效期≥12月，开瓶效期≥28天。</w:t>
      </w:r>
    </w:p>
    <w:p>
      <w:pPr>
        <w:pStyle w:val="18"/>
        <w:pageBreakBefore w:val="0"/>
        <w:kinsoku/>
        <w:wordWrap/>
        <w:overflowPunct/>
        <w:topLinePunct w:val="0"/>
        <w:autoSpaceDE/>
        <w:autoSpaceDN/>
        <w:bidi w:val="0"/>
        <w:adjustRightInd w:val="0"/>
        <w:snapToGrid w:val="0"/>
        <w:spacing w:beforeAutospacing="0" w:after="0" w:line="360" w:lineRule="auto"/>
        <w:ind w:left="0" w:leftChars="0" w:firstLine="0" w:firstLineChars="0"/>
        <w:textAlignment w:val="auto"/>
        <w:rPr>
          <w:rFonts w:hint="eastAsia" w:eastAsia="宋体" w:cs="宋体"/>
          <w:sz w:val="21"/>
          <w:szCs w:val="21"/>
          <w:lang w:eastAsia="zh-CN"/>
        </w:rPr>
      </w:pPr>
      <w:r>
        <w:rPr>
          <w:rFonts w:hint="eastAsia" w:eastAsia="宋体" w:cs="宋体"/>
          <w:sz w:val="21"/>
          <w:szCs w:val="21"/>
          <w:lang w:val="en-US" w:eastAsia="zh-CN"/>
        </w:rPr>
        <w:t>14.</w:t>
      </w:r>
      <w:r>
        <w:rPr>
          <w:rFonts w:hint="eastAsia" w:eastAsia="宋体" w:cs="宋体"/>
          <w:sz w:val="21"/>
          <w:szCs w:val="21"/>
        </w:rPr>
        <w:t>定标稳定期≥28天</w:t>
      </w:r>
      <w:r>
        <w:rPr>
          <w:rFonts w:hint="eastAsia" w:eastAsia="宋体" w:cs="宋体"/>
          <w:sz w:val="21"/>
          <w:szCs w:val="21"/>
          <w:lang w:eastAsia="zh-CN"/>
        </w:rPr>
        <w:t>。</w:t>
      </w:r>
    </w:p>
    <w:p>
      <w:pPr>
        <w:numPr>
          <w:ilvl w:val="0"/>
          <w:numId w:val="0"/>
        </w:numPr>
        <w:spacing w:line="360" w:lineRule="exact"/>
        <w:ind w:leftChars="0"/>
        <w:jc w:val="left"/>
        <w:rPr>
          <w:rFonts w:hint="eastAsia" w:ascii="宋体" w:hAnsi="宋体" w:eastAsia="宋体" w:cs="Times New Roman"/>
          <w:highlight w:val="none"/>
          <w:lang w:eastAsia="zh-CN"/>
        </w:rPr>
      </w:pPr>
      <w:r>
        <w:rPr>
          <w:rFonts w:hint="eastAsia" w:asciiTheme="majorEastAsia" w:hAnsiTheme="majorEastAsia" w:eastAsiaTheme="majorEastAsia"/>
          <w:b/>
          <w:bCs/>
          <w:sz w:val="22"/>
          <w:szCs w:val="22"/>
          <w:lang w:val="en-US" w:eastAsia="zh-CN"/>
        </w:rPr>
        <w:t>注：本项目</w:t>
      </w:r>
      <w:r>
        <w:rPr>
          <w:rFonts w:hint="eastAsia" w:ascii="宋体" w:hAnsi="宋体" w:eastAsia="宋体" w:cs="宋体"/>
          <w:b/>
          <w:bCs/>
          <w:sz w:val="21"/>
          <w:szCs w:val="21"/>
          <w:highlight w:val="none"/>
          <w:lang w:val="en-US" w:eastAsia="zh-CN"/>
        </w:rPr>
        <w:t>技术条款需要逐条提供</w:t>
      </w:r>
      <w:r>
        <w:rPr>
          <w:rFonts w:hint="eastAsia" w:ascii="宋体" w:hAnsi="宋体" w:eastAsia="宋体" w:cs="宋体"/>
          <w:b/>
          <w:bCs/>
          <w:sz w:val="21"/>
          <w:szCs w:val="21"/>
          <w:lang w:val="en-US" w:eastAsia="zh-CN"/>
        </w:rPr>
        <w:t>佐证材料</w:t>
      </w:r>
      <w:r>
        <w:rPr>
          <w:rFonts w:hint="eastAsia" w:ascii="宋体" w:hAnsi="宋体" w:cs="宋体"/>
          <w:b/>
          <w:bCs/>
          <w:sz w:val="21"/>
          <w:szCs w:val="21"/>
          <w:lang w:val="en-US" w:eastAsia="zh-CN"/>
        </w:rPr>
        <w:t>，并在招标文件中标注页码；</w:t>
      </w:r>
      <w:r>
        <w:rPr>
          <w:rFonts w:hint="eastAsia" w:ascii="宋体" w:hAnsi="宋体" w:eastAsia="宋体" w:cs="宋体"/>
          <w:b/>
          <w:bCs/>
          <w:sz w:val="21"/>
          <w:szCs w:val="21"/>
          <w:lang w:val="en-US" w:eastAsia="zh-CN"/>
        </w:rPr>
        <w:t>佐证材料为投标产品说明书或公开发行的彩页或国家认可的第三方检测机构出具的检测报告，</w:t>
      </w:r>
      <w:r>
        <w:rPr>
          <w:rFonts w:hint="eastAsia" w:ascii="宋体" w:hAnsi="宋体" w:cs="宋体"/>
          <w:b/>
          <w:bCs/>
        </w:rPr>
        <w:t>并加盖投标人公章</w:t>
      </w:r>
      <w:r>
        <w:rPr>
          <w:rFonts w:hint="eastAsia" w:ascii="宋体" w:hAnsi="宋体" w:eastAsia="宋体" w:cs="宋体"/>
          <w:b/>
          <w:bCs/>
          <w:sz w:val="21"/>
          <w:szCs w:val="21"/>
          <w:lang w:val="en-US" w:eastAsia="zh-CN"/>
        </w:rPr>
        <w:t>。</w:t>
      </w: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CN"/>
        </w:rPr>
      </w:pPr>
      <w:r>
        <w:rPr>
          <w:rFonts w:hint="eastAsia" w:ascii="宋体" w:hAnsi="宋体" w:cs="宋体"/>
          <w:color w:val="000000"/>
          <w:kern w:val="0"/>
        </w:rPr>
        <w:t>1.合同履</w:t>
      </w:r>
      <w:r>
        <w:rPr>
          <w:rFonts w:hint="eastAsia" w:ascii="宋体" w:hAnsi="宋体" w:cs="宋体"/>
          <w:color w:val="000000"/>
          <w:kern w:val="0"/>
          <w:lang w:val="en-US" w:eastAsia="zh-CN"/>
        </w:rPr>
        <w:t>约期限和地点</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1.1 合同履</w:t>
      </w:r>
      <w:r>
        <w:rPr>
          <w:rFonts w:hint="eastAsia" w:ascii="宋体" w:hAnsi="宋体" w:cs="宋体"/>
          <w:color w:val="000000"/>
          <w:kern w:val="0"/>
          <w:lang w:val="en-US" w:eastAsia="zh-CN"/>
        </w:rPr>
        <w:t>约</w:t>
      </w:r>
      <w:r>
        <w:rPr>
          <w:rFonts w:hint="eastAsia" w:ascii="宋体" w:hAnsi="宋体" w:cs="宋体"/>
          <w:color w:val="000000"/>
          <w:kern w:val="0"/>
        </w:rPr>
        <w:t>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合同履约地点：四川省妇幼保健院。</w:t>
      </w:r>
    </w:p>
    <w:p>
      <w:pPr>
        <w:spacing w:line="360" w:lineRule="exact"/>
        <w:rPr>
          <w:rFonts w:hint="eastAsia" w:ascii="宋体" w:hAnsi="宋体" w:eastAsia="宋体" w:cs="宋体"/>
          <w:color w:val="000000"/>
          <w:kern w:val="0"/>
        </w:rPr>
      </w:pPr>
      <w:r>
        <w:rPr>
          <w:rFonts w:hint="eastAsia" w:ascii="宋体" w:hAnsi="宋体" w:cs="宋体"/>
          <w:color w:val="000000"/>
          <w:kern w:val="0"/>
        </w:rPr>
        <w:t>2.付款方法和条件：</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 100%的货款给乙方。  </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auto"/>
          <w:kern w:val="0"/>
        </w:rPr>
        <w:t>年原厂质</w:t>
      </w:r>
      <w:r>
        <w:rPr>
          <w:rFonts w:hint="eastAsia" w:ascii="宋体" w:hAnsi="宋体" w:cs="宋体"/>
          <w:color w:val="000000"/>
          <w:kern w:val="0"/>
        </w:rPr>
        <w:t>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numPr>
          <w:ilvl w:val="0"/>
          <w:numId w:val="0"/>
        </w:numPr>
        <w:spacing w:line="360" w:lineRule="exact"/>
        <w:ind w:leftChars="0"/>
        <w:jc w:val="left"/>
        <w:rPr>
          <w:rFonts w:hint="eastAsia"/>
          <w:b/>
          <w:bCs/>
        </w:rPr>
      </w:pPr>
      <w:r>
        <w:rPr>
          <w:rFonts w:hint="eastAsia"/>
          <w:b/>
          <w:bCs/>
          <w:lang w:val="en-US" w:eastAsia="zh-CN"/>
        </w:rPr>
        <w:t>四、设备</w:t>
      </w:r>
      <w:r>
        <w:rPr>
          <w:rFonts w:hint="eastAsia"/>
          <w:b/>
          <w:bCs/>
        </w:rPr>
        <w:t>配套</w:t>
      </w:r>
      <w:r>
        <w:rPr>
          <w:rFonts w:hint="eastAsia"/>
          <w:b/>
          <w:bCs/>
          <w:lang w:val="en-US" w:eastAsia="zh-CN"/>
        </w:rPr>
        <w:t>检验项目</w:t>
      </w:r>
      <w:r>
        <w:rPr>
          <w:rFonts w:hint="eastAsia"/>
          <w:b/>
          <w:bCs/>
        </w:rPr>
        <w:t>报价单</w:t>
      </w:r>
    </w:p>
    <w:p>
      <w:pPr>
        <w:rPr>
          <w:rFonts w:hint="eastAsia" w:ascii="宋体" w:hAnsi="宋体" w:eastAsia="宋体" w:cs="宋体"/>
        </w:rPr>
      </w:pPr>
    </w:p>
    <w:p>
      <w:pPr>
        <w:rPr>
          <w:rFonts w:hint="default" w:ascii="宋体" w:hAnsi="宋体" w:eastAsia="宋体" w:cs="宋体"/>
          <w:b/>
          <w:bCs/>
          <w:sz w:val="24"/>
          <w:szCs w:val="24"/>
          <w:lang w:val="en-US" w:eastAsia="zh-CN"/>
        </w:rPr>
      </w:pPr>
      <w:r>
        <w:rPr>
          <w:rFonts w:hint="eastAsia" w:ascii="宋体" w:hAnsi="宋体" w:eastAsia="宋体" w:cs="宋体"/>
          <w:lang w:val="en-US" w:eastAsia="zh-CN"/>
        </w:rPr>
        <w:t>投标产品名称：</w:t>
      </w:r>
      <w:r>
        <w:rPr>
          <w:rFonts w:hint="eastAsia" w:ascii="宋体" w:hAnsi="宋体" w:eastAsia="宋体" w:cs="宋体"/>
        </w:rPr>
        <w:t>全自动化学发光测定仪（血栓</w:t>
      </w:r>
      <w:r>
        <w:rPr>
          <w:rFonts w:hint="eastAsia" w:ascii="宋体" w:hAnsi="宋体" w:eastAsia="宋体" w:cs="宋体"/>
          <w:lang w:val="en-US" w:eastAsia="zh-CN"/>
        </w:rPr>
        <w:t>标志物检测</w:t>
      </w:r>
      <w:r>
        <w:rPr>
          <w:rFonts w:hint="eastAsia" w:ascii="宋体" w:hAnsi="宋体" w:eastAsia="宋体" w:cs="宋体"/>
        </w:rPr>
        <w:t>）</w:t>
      </w:r>
    </w:p>
    <w:tbl>
      <w:tblPr>
        <w:tblStyle w:val="11"/>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2"/>
        <w:gridCol w:w="1484"/>
        <w:gridCol w:w="1782"/>
        <w:gridCol w:w="173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900"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1672"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检验项目名称</w:t>
            </w:r>
          </w:p>
        </w:tc>
        <w:tc>
          <w:tcPr>
            <w:tcW w:w="1484"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耗材种类</w:t>
            </w:r>
          </w:p>
        </w:tc>
        <w:tc>
          <w:tcPr>
            <w:tcW w:w="1782" w:type="dxa"/>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单价</w:t>
            </w:r>
          </w:p>
        </w:tc>
        <w:tc>
          <w:tcPr>
            <w:tcW w:w="1736" w:type="dxa"/>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预估年度用量</w:t>
            </w:r>
          </w:p>
        </w:tc>
        <w:tc>
          <w:tcPr>
            <w:tcW w:w="1280" w:type="dxa"/>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restart"/>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672" w:type="dxa"/>
            <w:vMerge w:val="restart"/>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color w:val="000000"/>
                <w:kern w:val="0"/>
              </w:rPr>
              <w:t>凝血酶-抗凝血酶复合物（TAT）</w:t>
            </w:r>
          </w:p>
        </w:tc>
        <w:tc>
          <w:tcPr>
            <w:tcW w:w="1484" w:type="dxa"/>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每次使用</w:t>
            </w:r>
          </w:p>
        </w:tc>
        <w:tc>
          <w:tcPr>
            <w:tcW w:w="1782" w:type="dxa"/>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***元/测试</w:t>
            </w:r>
          </w:p>
        </w:tc>
        <w:tc>
          <w:tcPr>
            <w:tcW w:w="1736" w:type="dxa"/>
            <w:vMerge w:val="restart"/>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1800次测试</w:t>
            </w:r>
          </w:p>
        </w:tc>
        <w:tc>
          <w:tcPr>
            <w:tcW w:w="1280" w:type="dxa"/>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1672" w:type="dxa"/>
            <w:vMerge w:val="continue"/>
            <w:noWrap w:val="0"/>
            <w:vAlign w:val="center"/>
          </w:tcPr>
          <w:p>
            <w:pPr>
              <w:jc w:val="center"/>
              <w:rPr>
                <w:rFonts w:hint="eastAsia" w:ascii="宋体" w:hAnsi="宋体" w:cs="宋体"/>
                <w:sz w:val="24"/>
                <w:szCs w:val="24"/>
                <w:vertAlign w:val="baseline"/>
                <w:lang w:val="en-US" w:eastAsia="zh-CN"/>
              </w:rPr>
            </w:pPr>
          </w:p>
        </w:tc>
        <w:tc>
          <w:tcPr>
            <w:tcW w:w="1484"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非每次使用</w:t>
            </w:r>
          </w:p>
        </w:tc>
        <w:tc>
          <w:tcPr>
            <w:tcW w:w="1782"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736" w:type="dxa"/>
            <w:vMerge w:val="continue"/>
            <w:noWrap w:val="0"/>
            <w:vAlign w:val="center"/>
          </w:tcPr>
          <w:p>
            <w:pPr>
              <w:jc w:val="center"/>
              <w:rPr>
                <w:rFonts w:hint="default" w:ascii="宋体" w:hAnsi="宋体" w:cs="宋体"/>
                <w:sz w:val="24"/>
                <w:szCs w:val="24"/>
                <w:vertAlign w:val="baseline"/>
                <w:lang w:val="en-US" w:eastAsia="zh-CN"/>
              </w:rPr>
            </w:pPr>
          </w:p>
        </w:tc>
        <w:tc>
          <w:tcPr>
            <w:tcW w:w="1280"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restart"/>
            <w:noWrap w:val="0"/>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w:t>
            </w:r>
          </w:p>
        </w:tc>
        <w:tc>
          <w:tcPr>
            <w:tcW w:w="1672" w:type="dxa"/>
            <w:vMerge w:val="restart"/>
            <w:noWrap w:val="0"/>
            <w:vAlign w:val="center"/>
          </w:tcPr>
          <w:p>
            <w:pPr>
              <w:jc w:val="center"/>
              <w:rPr>
                <w:rFonts w:hint="eastAsia" w:ascii="宋体" w:hAnsi="宋体" w:cs="宋体"/>
                <w:sz w:val="24"/>
                <w:szCs w:val="24"/>
                <w:highlight w:val="none"/>
                <w:vertAlign w:val="baseline"/>
                <w:lang w:val="en-US" w:eastAsia="zh-CN"/>
              </w:rPr>
            </w:pPr>
            <w:r>
              <w:rPr>
                <w:rFonts w:hint="eastAsia" w:ascii="宋体" w:hAnsi="宋体" w:cs="宋体"/>
                <w:color w:val="000000"/>
                <w:kern w:val="0"/>
              </w:rPr>
              <w:t>纤溶酶-α2 纤溶酶抑制剂复合物（PIC）</w:t>
            </w:r>
          </w:p>
        </w:tc>
        <w:tc>
          <w:tcPr>
            <w:tcW w:w="1484" w:type="dxa"/>
            <w:noWrap w:val="0"/>
            <w:vAlign w:val="center"/>
          </w:tcPr>
          <w:p>
            <w:pPr>
              <w:jc w:val="center"/>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每次使用</w:t>
            </w:r>
          </w:p>
        </w:tc>
        <w:tc>
          <w:tcPr>
            <w:tcW w:w="1782" w:type="dxa"/>
            <w:noWrap w:val="0"/>
            <w:vAlign w:val="center"/>
          </w:tcPr>
          <w:p>
            <w:pPr>
              <w:jc w:val="center"/>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***元/测试</w:t>
            </w:r>
          </w:p>
        </w:tc>
        <w:tc>
          <w:tcPr>
            <w:tcW w:w="1736" w:type="dxa"/>
            <w:vMerge w:val="restart"/>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1800次测试</w:t>
            </w:r>
          </w:p>
        </w:tc>
        <w:tc>
          <w:tcPr>
            <w:tcW w:w="1280" w:type="dxa"/>
            <w:noWrap w:val="0"/>
            <w:vAlign w:val="center"/>
          </w:tcPr>
          <w:p>
            <w:pPr>
              <w:jc w:val="center"/>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continue"/>
            <w:noWrap w:val="0"/>
            <w:vAlign w:val="center"/>
          </w:tcPr>
          <w:p>
            <w:pPr>
              <w:jc w:val="center"/>
              <w:rPr>
                <w:rFonts w:hint="eastAsia" w:ascii="宋体" w:hAnsi="宋体" w:eastAsia="宋体" w:cs="宋体"/>
                <w:sz w:val="24"/>
                <w:szCs w:val="24"/>
                <w:vertAlign w:val="baseline"/>
                <w:lang w:val="en-US" w:eastAsia="zh-CN"/>
              </w:rPr>
            </w:pPr>
          </w:p>
        </w:tc>
        <w:tc>
          <w:tcPr>
            <w:tcW w:w="1672" w:type="dxa"/>
            <w:vMerge w:val="continue"/>
            <w:noWrap w:val="0"/>
            <w:vAlign w:val="center"/>
          </w:tcPr>
          <w:p>
            <w:pPr>
              <w:jc w:val="center"/>
              <w:rPr>
                <w:rFonts w:hint="eastAsia" w:ascii="宋体" w:hAnsi="宋体" w:cs="宋体"/>
                <w:sz w:val="24"/>
                <w:szCs w:val="24"/>
                <w:vertAlign w:val="baseline"/>
                <w:lang w:val="en-US" w:eastAsia="zh-CN"/>
              </w:rPr>
            </w:pPr>
          </w:p>
        </w:tc>
        <w:tc>
          <w:tcPr>
            <w:tcW w:w="1484"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非每次使用</w:t>
            </w:r>
          </w:p>
        </w:tc>
        <w:tc>
          <w:tcPr>
            <w:tcW w:w="1782"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736" w:type="dxa"/>
            <w:vMerge w:val="continue"/>
            <w:noWrap w:val="0"/>
            <w:vAlign w:val="center"/>
          </w:tcPr>
          <w:p>
            <w:pPr>
              <w:jc w:val="center"/>
              <w:rPr>
                <w:rFonts w:hint="default" w:ascii="宋体" w:hAnsi="宋体" w:cs="宋体"/>
                <w:sz w:val="24"/>
                <w:szCs w:val="24"/>
                <w:vertAlign w:val="baseline"/>
                <w:lang w:val="en-US" w:eastAsia="zh-CN"/>
              </w:rPr>
            </w:pPr>
          </w:p>
        </w:tc>
        <w:tc>
          <w:tcPr>
            <w:tcW w:w="1280"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restart"/>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672" w:type="dxa"/>
            <w:vMerge w:val="restart"/>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color w:val="000000"/>
                <w:kern w:val="0"/>
              </w:rPr>
              <w:t>血栓调节蛋白（TM）</w:t>
            </w:r>
          </w:p>
        </w:tc>
        <w:tc>
          <w:tcPr>
            <w:tcW w:w="1484"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每次使用</w:t>
            </w:r>
          </w:p>
        </w:tc>
        <w:tc>
          <w:tcPr>
            <w:tcW w:w="1782"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***元/测试</w:t>
            </w:r>
          </w:p>
        </w:tc>
        <w:tc>
          <w:tcPr>
            <w:tcW w:w="1736" w:type="dxa"/>
            <w:vMerge w:val="restar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1800次测试</w:t>
            </w:r>
          </w:p>
        </w:tc>
        <w:tc>
          <w:tcPr>
            <w:tcW w:w="1280"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continue"/>
            <w:noWrap w:val="0"/>
            <w:vAlign w:val="center"/>
          </w:tcPr>
          <w:p>
            <w:pPr>
              <w:jc w:val="center"/>
              <w:rPr>
                <w:rFonts w:hint="eastAsia" w:ascii="宋体" w:hAnsi="宋体" w:cs="宋体"/>
                <w:sz w:val="24"/>
                <w:szCs w:val="24"/>
                <w:vertAlign w:val="baseline"/>
                <w:lang w:val="en-US" w:eastAsia="zh-CN"/>
              </w:rPr>
            </w:pPr>
          </w:p>
        </w:tc>
        <w:tc>
          <w:tcPr>
            <w:tcW w:w="1672" w:type="dxa"/>
            <w:vMerge w:val="continue"/>
            <w:noWrap w:val="0"/>
            <w:vAlign w:val="center"/>
          </w:tcPr>
          <w:p>
            <w:pPr>
              <w:jc w:val="center"/>
              <w:rPr>
                <w:rFonts w:hint="eastAsia" w:ascii="宋体" w:hAnsi="宋体" w:cs="宋体"/>
                <w:color w:val="000000"/>
                <w:kern w:val="0"/>
              </w:rPr>
            </w:pPr>
          </w:p>
        </w:tc>
        <w:tc>
          <w:tcPr>
            <w:tcW w:w="1484"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非每次使用</w:t>
            </w:r>
          </w:p>
        </w:tc>
        <w:tc>
          <w:tcPr>
            <w:tcW w:w="1782"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736" w:type="dxa"/>
            <w:vMerge w:val="continue"/>
            <w:noWrap w:val="0"/>
            <w:vAlign w:val="center"/>
          </w:tcPr>
          <w:p>
            <w:pPr>
              <w:jc w:val="center"/>
              <w:rPr>
                <w:rFonts w:hint="default" w:ascii="宋体" w:hAnsi="宋体" w:cs="宋体"/>
                <w:sz w:val="24"/>
                <w:szCs w:val="24"/>
                <w:vertAlign w:val="baseline"/>
                <w:lang w:val="en-US" w:eastAsia="zh-CN"/>
              </w:rPr>
            </w:pPr>
          </w:p>
        </w:tc>
        <w:tc>
          <w:tcPr>
            <w:tcW w:w="1280"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restart"/>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672" w:type="dxa"/>
            <w:vMerge w:val="restart"/>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color w:val="000000"/>
                <w:kern w:val="0"/>
              </w:rPr>
              <w:t>组织型纤溶酶原激活物-纤溶酶原激活物抑制剂复合物（t-PAIC）</w:t>
            </w:r>
          </w:p>
        </w:tc>
        <w:tc>
          <w:tcPr>
            <w:tcW w:w="1484"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每次使用</w:t>
            </w:r>
          </w:p>
        </w:tc>
        <w:tc>
          <w:tcPr>
            <w:tcW w:w="1782"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***元/测试</w:t>
            </w:r>
          </w:p>
        </w:tc>
        <w:tc>
          <w:tcPr>
            <w:tcW w:w="1736" w:type="dxa"/>
            <w:vMerge w:val="restart"/>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1800次测试</w:t>
            </w:r>
          </w:p>
        </w:tc>
        <w:tc>
          <w:tcPr>
            <w:tcW w:w="1280"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highlight w:val="none"/>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0" w:type="dxa"/>
            <w:vMerge w:val="continue"/>
            <w:noWrap w:val="0"/>
            <w:vAlign w:val="center"/>
          </w:tcPr>
          <w:p>
            <w:pPr>
              <w:jc w:val="center"/>
              <w:rPr>
                <w:rFonts w:hint="eastAsia" w:ascii="宋体" w:hAnsi="宋体" w:cs="宋体"/>
                <w:sz w:val="24"/>
                <w:szCs w:val="24"/>
                <w:vertAlign w:val="baseline"/>
                <w:lang w:val="en-US" w:eastAsia="zh-CN"/>
              </w:rPr>
            </w:pPr>
          </w:p>
        </w:tc>
        <w:tc>
          <w:tcPr>
            <w:tcW w:w="1672" w:type="dxa"/>
            <w:vMerge w:val="continue"/>
            <w:noWrap w:val="0"/>
            <w:vAlign w:val="center"/>
          </w:tcPr>
          <w:p>
            <w:pPr>
              <w:jc w:val="center"/>
              <w:rPr>
                <w:rFonts w:hint="eastAsia" w:ascii="宋体" w:hAnsi="宋体" w:cs="宋体"/>
                <w:color w:val="000000"/>
                <w:kern w:val="0"/>
              </w:rPr>
            </w:pPr>
          </w:p>
        </w:tc>
        <w:tc>
          <w:tcPr>
            <w:tcW w:w="1484"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非每次使用</w:t>
            </w:r>
          </w:p>
        </w:tc>
        <w:tc>
          <w:tcPr>
            <w:tcW w:w="1782"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w:t>
            </w:r>
          </w:p>
        </w:tc>
        <w:tc>
          <w:tcPr>
            <w:tcW w:w="1736" w:type="dxa"/>
            <w:vMerge w:val="continue"/>
            <w:noWrap w:val="0"/>
            <w:vAlign w:val="center"/>
          </w:tcPr>
          <w:p>
            <w:pPr>
              <w:jc w:val="center"/>
              <w:rPr>
                <w:rFonts w:hint="default" w:ascii="宋体" w:hAnsi="宋体" w:cs="宋体"/>
                <w:sz w:val="24"/>
                <w:szCs w:val="24"/>
                <w:vertAlign w:val="baseline"/>
                <w:lang w:val="en-US" w:eastAsia="zh-CN"/>
              </w:rPr>
            </w:pPr>
          </w:p>
        </w:tc>
        <w:tc>
          <w:tcPr>
            <w:tcW w:w="1280" w:type="dxa"/>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572" w:type="dxa"/>
            <w:gridSpan w:val="2"/>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合计</w:t>
            </w:r>
          </w:p>
        </w:tc>
        <w:tc>
          <w:tcPr>
            <w:tcW w:w="6282" w:type="dxa"/>
            <w:gridSpan w:val="4"/>
            <w:noWrap w:val="0"/>
            <w:vAlign w:val="center"/>
          </w:tcPr>
          <w:p>
            <w:pPr>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小写：***元/年</w:t>
            </w:r>
          </w:p>
          <w:p>
            <w:pPr>
              <w:pStyle w:val="2"/>
              <w:rPr>
                <w:rFonts w:hint="default"/>
                <w:sz w:val="24"/>
                <w:szCs w:val="24"/>
                <w:lang w:val="en-US" w:eastAsia="zh-CN"/>
              </w:rPr>
            </w:pPr>
            <w:r>
              <w:rPr>
                <w:rFonts w:hint="eastAsia" w:ascii="宋体" w:hAnsi="宋体" w:cs="宋体"/>
                <w:sz w:val="24"/>
                <w:szCs w:val="24"/>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854" w:type="dxa"/>
            <w:gridSpan w:val="6"/>
            <w:noWrap w:val="0"/>
            <w:vAlign w:val="center"/>
          </w:tcPr>
          <w:p>
            <w:pPr>
              <w:pStyle w:val="2"/>
              <w:rPr>
                <w:rFonts w:hint="default" w:ascii="宋体" w:hAnsi="宋体" w:cs="宋体"/>
                <w:sz w:val="24"/>
                <w:szCs w:val="24"/>
                <w:lang w:val="en-US" w:eastAsia="zh-CN"/>
              </w:rPr>
            </w:pPr>
            <w:r>
              <w:rPr>
                <w:rFonts w:hint="eastAsia" w:ascii="宋体" w:hAnsi="宋体" w:cs="宋体"/>
                <w:sz w:val="24"/>
                <w:szCs w:val="24"/>
                <w:lang w:val="en-US" w:eastAsia="zh-CN"/>
              </w:rPr>
              <w:t>价格组成测算（格式自拟）</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1.每次使用的配套试剂耗材测算价格组成（内容至少包含试剂耗材名称、规格、单价、每测试用量、年度用量、四川省药械集中采购及医药价格监管平台耗材商品代码/流水号(如有)等）：</w:t>
            </w:r>
          </w:p>
          <w:p>
            <w:pPr>
              <w:pStyle w:val="2"/>
              <w:rPr>
                <w:rFonts w:hint="eastAsia" w:ascii="宋体" w:hAnsi="宋体" w:cs="宋体"/>
                <w:sz w:val="24"/>
                <w:szCs w:val="24"/>
                <w:lang w:val="en-US" w:eastAsia="zh-CN"/>
              </w:rPr>
            </w:pPr>
          </w:p>
          <w:p>
            <w:pPr>
              <w:pStyle w:val="2"/>
              <w:rPr>
                <w:rFonts w:hint="eastAsia" w:ascii="宋体" w:hAnsi="宋体" w:cs="宋体"/>
                <w:sz w:val="24"/>
                <w:szCs w:val="24"/>
                <w:vertAlign w:val="baseline"/>
                <w:lang w:val="en-US" w:eastAsia="zh-CN"/>
              </w:rPr>
            </w:pPr>
            <w:r>
              <w:rPr>
                <w:rFonts w:hint="eastAsia" w:ascii="宋体" w:hAnsi="宋体" w:cs="宋体"/>
                <w:sz w:val="24"/>
                <w:szCs w:val="24"/>
                <w:lang w:val="en-US" w:eastAsia="zh-CN"/>
              </w:rPr>
              <w:t>2.非每次使用的配套试剂耗材测算价格组成（内容至少包含耗材名称、规格、单价、每次用量、年度用量、四川省药械集中采购及医药价格监管平台耗材商品代码/流水号(如有)等）：</w:t>
            </w:r>
          </w:p>
        </w:tc>
      </w:tr>
    </w:tbl>
    <w:p>
      <w:pPr>
        <w:widowControl/>
        <w:shd w:val="clear" w:color="auto" w:fill="auto"/>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pPr>
        <w:widowControl/>
        <w:numPr>
          <w:ilvl w:val="0"/>
          <w:numId w:val="0"/>
        </w:numPr>
        <w:shd w:val="clear" w:color="auto" w:fill="auto"/>
        <w:spacing w:line="360" w:lineRule="auto"/>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供应商应对投标</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配套检验项目进行报价，</w:t>
      </w:r>
      <w:r>
        <w:rPr>
          <w:rFonts w:hint="eastAsia" w:ascii="宋体" w:hAnsi="宋体" w:cs="宋体"/>
          <w:b/>
          <w:bCs/>
          <w:sz w:val="24"/>
          <w:szCs w:val="24"/>
          <w:lang w:val="en-US" w:eastAsia="zh-CN"/>
        </w:rPr>
        <w:t>配套试剂耗材合计价格=（每次使用配套试剂耗材单价×预估年度用量）+非每次使用配套试剂耗材使用年度总价</w:t>
      </w:r>
      <w:r>
        <w:rPr>
          <w:rFonts w:hint="eastAsia" w:ascii="宋体" w:hAnsi="宋体" w:cs="宋体"/>
          <w:sz w:val="24"/>
          <w:szCs w:val="24"/>
          <w:lang w:val="en-US" w:eastAsia="zh-CN"/>
        </w:rPr>
        <w:t>。非每次使用配套试剂耗材，依据预估年度用量，测算出年度总价格。《设备配套检验项目报价单》中的报价</w:t>
      </w:r>
      <w:r>
        <w:rPr>
          <w:rFonts w:hint="eastAsia" w:ascii="宋体" w:hAnsi="宋体" w:eastAsia="宋体" w:cs="宋体"/>
          <w:sz w:val="24"/>
          <w:szCs w:val="24"/>
          <w:lang w:val="en-US" w:eastAsia="zh-CN"/>
        </w:rPr>
        <w:t>仅做为后期保障评审依据。</w:t>
      </w:r>
    </w:p>
    <w:p>
      <w:pPr>
        <w:widowControl/>
        <w:numPr>
          <w:ilvl w:val="0"/>
          <w:numId w:val="0"/>
        </w:numPr>
        <w:shd w:val="clear" w:color="auto" w:fill="auto"/>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2.</w:t>
      </w:r>
      <w:r>
        <w:rPr>
          <w:rFonts w:hint="eastAsia" w:ascii="宋体" w:hAnsi="宋体" w:cs="宋体"/>
          <w:b/>
          <w:bCs/>
          <w:sz w:val="24"/>
          <w:szCs w:val="24"/>
          <w:lang w:val="en-US" w:eastAsia="zh-CN"/>
        </w:rPr>
        <w:t>如设备</w:t>
      </w:r>
      <w:r>
        <w:rPr>
          <w:rFonts w:hint="eastAsia" w:ascii="宋体" w:hAnsi="宋体" w:eastAsia="宋体" w:cs="宋体"/>
          <w:b/>
          <w:bCs/>
          <w:sz w:val="24"/>
          <w:szCs w:val="24"/>
          <w:lang w:val="en-US" w:eastAsia="zh-CN"/>
        </w:rPr>
        <w:t>配套检验项目</w:t>
      </w:r>
      <w:r>
        <w:rPr>
          <w:rFonts w:hint="eastAsia" w:ascii="宋体" w:hAnsi="宋体" w:cs="宋体"/>
          <w:b/>
          <w:bCs/>
          <w:sz w:val="24"/>
          <w:szCs w:val="24"/>
          <w:lang w:val="en-US" w:eastAsia="zh-CN"/>
        </w:rPr>
        <w:t>涉及的试剂耗材为多种规格，请投标人使用试剂耗材平均价进行测算测试单价，并</w:t>
      </w:r>
      <w:r>
        <w:rPr>
          <w:rFonts w:hint="eastAsia" w:ascii="宋体" w:hAnsi="宋体" w:eastAsia="宋体" w:cs="宋体"/>
          <w:b/>
          <w:bCs/>
          <w:sz w:val="24"/>
          <w:szCs w:val="24"/>
          <w:lang w:val="en-US" w:eastAsia="zh-CN"/>
        </w:rPr>
        <w:t>详细罗列</w:t>
      </w:r>
      <w:r>
        <w:rPr>
          <w:rFonts w:hint="eastAsia" w:ascii="宋体" w:hAnsi="宋体" w:cs="宋体"/>
          <w:b/>
          <w:bCs/>
          <w:sz w:val="24"/>
          <w:szCs w:val="24"/>
          <w:lang w:val="en-US" w:eastAsia="zh-CN"/>
        </w:rPr>
        <w:t>投标</w:t>
      </w:r>
      <w:r>
        <w:rPr>
          <w:rFonts w:hint="eastAsia" w:ascii="宋体" w:hAnsi="宋体" w:eastAsia="宋体" w:cs="宋体"/>
          <w:b/>
          <w:bCs/>
          <w:sz w:val="24"/>
          <w:szCs w:val="24"/>
          <w:lang w:val="en-US" w:eastAsia="zh-CN"/>
        </w:rPr>
        <w:t>设备配套检验项目配套试剂耗材</w:t>
      </w:r>
      <w:r>
        <w:rPr>
          <w:rFonts w:hint="eastAsia" w:ascii="宋体" w:hAnsi="宋体" w:cs="宋体"/>
          <w:b/>
          <w:bCs/>
          <w:sz w:val="24"/>
          <w:szCs w:val="24"/>
          <w:lang w:val="en-US" w:eastAsia="zh-CN"/>
        </w:rPr>
        <w:t>测算价格组成，否则按无效投标处理。</w:t>
      </w:r>
      <w:r>
        <w:rPr>
          <w:rFonts w:hint="eastAsia" w:ascii="宋体" w:hAnsi="宋体" w:cs="宋体"/>
          <w:b w:val="0"/>
          <w:bCs w:val="0"/>
          <w:sz w:val="24"/>
          <w:szCs w:val="24"/>
          <w:lang w:val="en-US" w:eastAsia="zh-CN"/>
        </w:rPr>
        <w:t>其中</w:t>
      </w:r>
      <w:r>
        <w:rPr>
          <w:rFonts w:hint="eastAsia" w:ascii="宋体" w:hAnsi="宋体" w:eastAsia="宋体" w:cs="宋体"/>
          <w:b w:val="0"/>
          <w:bCs w:val="0"/>
          <w:sz w:val="24"/>
          <w:szCs w:val="24"/>
          <w:lang w:val="en-US" w:eastAsia="zh-CN"/>
        </w:rPr>
        <w:t>配套耗材是指专用于该设备进行检测（包括定标和质控等）、维护保养等工作必需的试剂耗材。</w:t>
      </w:r>
    </w:p>
    <w:p>
      <w:pPr>
        <w:widowControl/>
        <w:shd w:val="clear" w:color="auto" w:fill="auto"/>
        <w:spacing w:line="360" w:lineRule="auto"/>
        <w:jc w:val="left"/>
        <w:rPr>
          <w:rFonts w:hint="default" w:ascii="宋体" w:hAnsi="宋体" w:cs="宋体"/>
          <w:sz w:val="24"/>
          <w:szCs w:val="24"/>
          <w:lang w:val="en-US" w:eastAsia="zh-CN"/>
        </w:rPr>
      </w:pPr>
      <w:r>
        <w:rPr>
          <w:rFonts w:hint="eastAsia" w:ascii="宋体" w:hAnsi="宋体" w:cs="宋体"/>
          <w:b/>
          <w:bCs/>
          <w:sz w:val="24"/>
          <w:szCs w:val="24"/>
          <w:lang w:val="en-US" w:eastAsia="zh-CN"/>
        </w:rPr>
        <w:t>3.投标人需提供承诺函，承诺后期该设备配套试剂</w:t>
      </w:r>
      <w:r>
        <w:rPr>
          <w:rFonts w:hint="eastAsia" w:ascii="宋体" w:hAnsi="宋体" w:eastAsia="宋体" w:cs="宋体"/>
          <w:b/>
          <w:bCs/>
          <w:sz w:val="24"/>
          <w:szCs w:val="24"/>
          <w:lang w:val="en-US" w:eastAsia="zh-CN"/>
        </w:rPr>
        <w:t>耗材投标报价不高于本次</w:t>
      </w:r>
      <w:r>
        <w:rPr>
          <w:rFonts w:hint="eastAsia" w:ascii="宋体" w:hAnsi="宋体" w:cs="宋体"/>
          <w:b/>
          <w:bCs/>
          <w:sz w:val="24"/>
          <w:szCs w:val="24"/>
          <w:lang w:val="en-US" w:eastAsia="zh-CN"/>
        </w:rPr>
        <w:t>测算价格，否则按无效投标处理。</w:t>
      </w:r>
    </w:p>
    <w:p>
      <w:pPr>
        <w:pStyle w:val="2"/>
        <w:rPr>
          <w:rFonts w:hint="eastAsia" w:eastAsiaTheme="minorEastAsia"/>
          <w:lang w:val="en-US" w:eastAsia="zh-CN"/>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bookmarkStart w:id="1" w:name="_GoBack"/>
      <w:bookmarkEnd w:id="1"/>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36"/>
        <w:gridCol w:w="2060"/>
        <w:gridCol w:w="609"/>
        <w:gridCol w:w="551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2"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40"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9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28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552"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0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30</w:t>
            </w:r>
          </w:p>
        </w:tc>
        <w:tc>
          <w:tcPr>
            <w:tcW w:w="2552"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tc>
        <w:tc>
          <w:tcPr>
            <w:tcW w:w="509"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hint="eastAsia" w:ascii="宋体" w:hAnsi="宋体" w:cs="Segoe UI"/>
                <w:color w:val="000000"/>
                <w:kern w:val="0"/>
              </w:rPr>
            </w:pPr>
            <w:r>
              <w:rPr>
                <w:rFonts w:hint="eastAsia" w:ascii="宋体" w:hAnsi="宋体" w:cs="Segoe UI"/>
                <w:color w:val="000000"/>
                <w:kern w:val="0"/>
              </w:rPr>
              <w:t>2</w:t>
            </w:r>
          </w:p>
        </w:tc>
        <w:tc>
          <w:tcPr>
            <w:tcW w:w="2060" w:type="dxa"/>
            <w:noWrap w:val="0"/>
            <w:vAlign w:val="center"/>
          </w:tcPr>
          <w:p>
            <w:pPr>
              <w:widowControl/>
              <w:spacing w:line="360" w:lineRule="exact"/>
              <w:jc w:val="center"/>
              <w:rPr>
                <w:rFonts w:hint="eastAsia" w:ascii="宋体" w:hAnsi="宋体" w:cs="Segoe UI"/>
                <w:color w:val="000000"/>
                <w:kern w:val="0"/>
              </w:rPr>
            </w:pPr>
            <w:r>
              <w:rPr>
                <w:rFonts w:hint="eastAsia" w:ascii="宋体" w:hAnsi="宋体" w:cs="Segoe UI"/>
                <w:kern w:val="0"/>
              </w:rPr>
              <w:t>后期保障</w:t>
            </w:r>
            <w:r>
              <w:rPr>
                <w:rFonts w:hint="eastAsia" w:ascii="宋体" w:hAnsi="宋体" w:cs="Segoe UI"/>
                <w:kern w:val="0"/>
                <w:lang w:val="en-US" w:eastAsia="zh-CN"/>
              </w:rPr>
              <w:t>30</w:t>
            </w:r>
            <w:r>
              <w:rPr>
                <w:rFonts w:hint="eastAsia" w:ascii="宋体" w:hAnsi="宋体" w:cs="Segoe UI"/>
                <w:kern w:val="0"/>
              </w:rPr>
              <w:t>%</w:t>
            </w:r>
          </w:p>
        </w:tc>
        <w:tc>
          <w:tcPr>
            <w:tcW w:w="609" w:type="dxa"/>
            <w:noWrap w:val="0"/>
            <w:vAlign w:val="center"/>
          </w:tcPr>
          <w:p>
            <w:pPr>
              <w:widowControl/>
              <w:spacing w:line="360" w:lineRule="exact"/>
              <w:jc w:val="center"/>
              <w:rPr>
                <w:rFonts w:hint="eastAsia" w:ascii="宋体" w:hAnsi="宋体" w:eastAsia="宋体" w:cs="宋体"/>
              </w:rPr>
            </w:pPr>
            <w:r>
              <w:rPr>
                <w:rFonts w:hint="eastAsia" w:ascii="宋体" w:hAnsi="宋体" w:cs="Segoe UI"/>
                <w:kern w:val="0"/>
                <w:lang w:val="en-US" w:eastAsia="zh-CN"/>
              </w:rPr>
              <w:t>30</w:t>
            </w:r>
          </w:p>
        </w:tc>
        <w:tc>
          <w:tcPr>
            <w:tcW w:w="5516" w:type="dxa"/>
            <w:noWrap w:val="0"/>
            <w:vAlign w:val="center"/>
          </w:tcPr>
          <w:p>
            <w:pPr>
              <w:widowControl/>
              <w:spacing w:line="360" w:lineRule="exact"/>
              <w:jc w:val="left"/>
              <w:rPr>
                <w:rFonts w:ascii="宋体" w:hAnsi="宋体" w:cs="宋体"/>
              </w:rPr>
            </w:pPr>
            <w:r>
              <w:rPr>
                <w:rFonts w:hint="eastAsia" w:ascii="宋体" w:hAnsi="宋体" w:cs="宋体"/>
              </w:rPr>
              <w:t>在保障设备正常运行的基础上，提供配套</w:t>
            </w:r>
            <w:r>
              <w:rPr>
                <w:rFonts w:hint="eastAsia" w:ascii="宋体" w:hAnsi="宋体" w:cs="宋体"/>
                <w:lang w:val="en-US" w:eastAsia="zh-CN"/>
              </w:rPr>
              <w:t>检验项目</w:t>
            </w:r>
            <w:r>
              <w:rPr>
                <w:rFonts w:hint="eastAsia" w:ascii="宋体" w:hAnsi="宋体" w:cs="宋体"/>
              </w:rPr>
              <w:t>报价金额， 后期保障得分=(基准价／供应商报价)×</w:t>
            </w:r>
            <w:r>
              <w:rPr>
                <w:rFonts w:hint="eastAsia" w:ascii="宋体" w:hAnsi="宋体" w:cs="宋体"/>
                <w:lang w:val="en-US" w:eastAsia="zh-CN"/>
              </w:rPr>
              <w:t>30</w:t>
            </w:r>
            <w:r>
              <w:rPr>
                <w:rFonts w:hint="eastAsia" w:ascii="宋体" w:hAnsi="宋体" w:cs="宋体"/>
              </w:rPr>
              <w:t>（保留两位小数）。</w:t>
            </w:r>
          </w:p>
          <w:p>
            <w:pPr>
              <w:widowControl/>
              <w:spacing w:line="360" w:lineRule="exact"/>
              <w:jc w:val="left"/>
              <w:rPr>
                <w:rFonts w:hint="eastAsia" w:ascii="宋体" w:hAnsi="宋体" w:eastAsia="宋体" w:cs="宋体"/>
              </w:rPr>
            </w:pPr>
            <w:r>
              <w:rPr>
                <w:rFonts w:hint="eastAsia" w:ascii="宋体" w:hAnsi="宋体" w:cs="宋体"/>
              </w:rPr>
              <w:t>注：</w:t>
            </w:r>
            <w:r>
              <w:rPr>
                <w:rFonts w:hint="eastAsia" w:ascii="宋体" w:hAnsi="宋体" w:cs="宋体"/>
                <w:lang w:val="en-US" w:eastAsia="zh-CN"/>
              </w:rPr>
              <w:t>检验项目</w:t>
            </w:r>
            <w:r>
              <w:rPr>
                <w:rFonts w:hint="eastAsia" w:ascii="宋体" w:hAnsi="宋体" w:cs="宋体"/>
              </w:rPr>
              <w:t>报价最低的为基准价。</w:t>
            </w:r>
          </w:p>
        </w:tc>
        <w:tc>
          <w:tcPr>
            <w:tcW w:w="1100" w:type="dxa"/>
            <w:noWrap w:val="0"/>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2060" w:type="dxa"/>
            <w:noWrap w:val="0"/>
            <w:vAlign w:val="center"/>
          </w:tcPr>
          <w:p>
            <w:pPr>
              <w:widowControl/>
              <w:spacing w:line="360" w:lineRule="exact"/>
              <w:jc w:val="center"/>
              <w:rPr>
                <w:rFonts w:ascii="宋体" w:hAnsi="宋体" w:cs="Segoe UI"/>
                <w:kern w:val="0"/>
              </w:rPr>
            </w:pPr>
            <w:r>
              <w:rPr>
                <w:rFonts w:hint="eastAsia" w:ascii="宋体" w:hAnsi="宋体" w:cs="Segoe UI"/>
                <w:kern w:val="0"/>
              </w:rPr>
              <w:t>技术指标</w:t>
            </w:r>
          </w:p>
          <w:p>
            <w:pPr>
              <w:widowControl/>
              <w:spacing w:line="360" w:lineRule="exact"/>
              <w:jc w:val="center"/>
              <w:rPr>
                <w:rFonts w:ascii="宋体" w:hAnsi="宋体" w:cs="Segoe UI"/>
                <w:color w:val="333333"/>
                <w:kern w:val="0"/>
              </w:rPr>
            </w:pPr>
            <w:r>
              <w:rPr>
                <w:rFonts w:hint="eastAsia" w:ascii="宋体" w:hAnsi="宋体" w:cs="Segoe UI"/>
                <w:kern w:val="0"/>
                <w:lang w:val="en-US" w:eastAsia="zh-CN"/>
              </w:rPr>
              <w:t>26</w:t>
            </w:r>
            <w:r>
              <w:rPr>
                <w:rFonts w:hint="eastAsia" w:ascii="宋体" w:hAnsi="宋体" w:cs="Segoe UI"/>
                <w:kern w:val="0"/>
              </w:rPr>
              <w:t>%</w:t>
            </w:r>
          </w:p>
        </w:tc>
        <w:tc>
          <w:tcPr>
            <w:tcW w:w="609" w:type="dxa"/>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kern w:val="0"/>
                <w:lang w:val="en-US" w:eastAsia="zh-CN"/>
              </w:rPr>
              <w:t>26</w:t>
            </w:r>
          </w:p>
        </w:tc>
        <w:tc>
          <w:tcPr>
            <w:tcW w:w="5516" w:type="dxa"/>
            <w:noWrap w:val="0"/>
            <w:vAlign w:val="center"/>
          </w:tcPr>
          <w:p>
            <w:pPr>
              <w:widowControl/>
              <w:spacing w:line="360" w:lineRule="exact"/>
              <w:rPr>
                <w:rFonts w:ascii="宋体" w:hAnsi="宋体" w:cs="宋体"/>
              </w:rPr>
            </w:pPr>
            <w:r>
              <w:rPr>
                <w:rFonts w:hint="eastAsia" w:ascii="宋体" w:hAnsi="宋体" w:cs="宋体"/>
              </w:rPr>
              <w:t>完全符合招标文件技术参数要求得</w:t>
            </w:r>
            <w:r>
              <w:rPr>
                <w:rFonts w:hint="eastAsia" w:ascii="宋体" w:hAnsi="宋体" w:cs="宋体"/>
                <w:lang w:val="en-US" w:eastAsia="zh-CN"/>
              </w:rPr>
              <w:t>26</w:t>
            </w:r>
            <w:r>
              <w:rPr>
                <w:rFonts w:hint="eastAsia" w:ascii="宋体" w:hAnsi="宋体" w:cs="宋体"/>
              </w:rPr>
              <w:t>分。条款负偏离一项扣</w:t>
            </w:r>
            <w:r>
              <w:rPr>
                <w:rFonts w:hint="eastAsia" w:ascii="宋体" w:hAnsi="宋体" w:cs="宋体"/>
                <w:lang w:val="en-US" w:eastAsia="zh-CN"/>
              </w:rPr>
              <w:t>2</w:t>
            </w:r>
            <w:r>
              <w:rPr>
                <w:rFonts w:hint="eastAsia" w:ascii="宋体" w:hAnsi="宋体" w:cs="宋体"/>
              </w:rPr>
              <w:t>分</w:t>
            </w:r>
            <w:r>
              <w:rPr>
                <w:rFonts w:hint="eastAsia" w:ascii="宋体" w:hAnsi="宋体" w:cs="宋体"/>
                <w:lang w:eastAsia="zh-CN"/>
              </w:rPr>
              <w:t>，</w:t>
            </w:r>
            <w:r>
              <w:rPr>
                <w:rFonts w:hint="eastAsia" w:ascii="宋体" w:hAnsi="宋体" w:cs="宋体"/>
              </w:rPr>
              <w:t>扣完为止。（条款共</w:t>
            </w:r>
            <w:r>
              <w:rPr>
                <w:rFonts w:hint="eastAsia" w:ascii="宋体" w:hAnsi="宋体" w:cs="宋体"/>
                <w:lang w:val="en-US" w:eastAsia="zh-CN"/>
              </w:rPr>
              <w:t>13</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w:t>
            </w:r>
            <w:r>
              <w:rPr>
                <w:rFonts w:hint="eastAsia" w:ascii="宋体" w:hAnsi="宋体" w:cs="宋体"/>
                <w:lang w:val="en-US" w:eastAsia="zh-CN"/>
              </w:rPr>
              <w:t>技术</w:t>
            </w:r>
            <w:r>
              <w:rPr>
                <w:rFonts w:hint="eastAsia" w:ascii="宋体" w:hAnsi="宋体" w:cs="宋体"/>
              </w:rPr>
              <w:t>条款需提供证明文件（按招标文件要求提供资料,</w:t>
            </w:r>
            <w:r>
              <w:rPr>
                <w:rFonts w:hint="eastAsia" w:ascii="仿宋" w:hAnsi="仿宋" w:eastAsia="仿宋"/>
              </w:rPr>
              <w:t xml:space="preserve"> </w:t>
            </w:r>
            <w:r>
              <w:rPr>
                <w:rFonts w:hint="eastAsia" w:ascii="宋体" w:hAnsi="宋体" w:cs="宋体"/>
              </w:rPr>
              <w:t>提供所投产品生产厂家出具的说明书或向社会公开的彩页资料或国家认可的合法的检测机构出具的检测报告有效证明材料并加盖投标人公章）。（2）如技术指标在投标文件中未对应出现或在投标文件中存在自相矛盾之处或未提供的不得分。</w:t>
            </w:r>
          </w:p>
        </w:tc>
        <w:tc>
          <w:tcPr>
            <w:tcW w:w="1100" w:type="dxa"/>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2060" w:type="dxa"/>
            <w:noWrap w:val="0"/>
            <w:vAlign w:val="center"/>
          </w:tcPr>
          <w:p>
            <w:pPr>
              <w:widowControl/>
              <w:spacing w:line="360" w:lineRule="exact"/>
              <w:jc w:val="center"/>
              <w:rPr>
                <w:rFonts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609" w:type="dxa"/>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8</w:t>
            </w:r>
          </w:p>
        </w:tc>
        <w:tc>
          <w:tcPr>
            <w:tcW w:w="5516" w:type="dxa"/>
            <w:noWrap w:val="0"/>
            <w:vAlign w:val="center"/>
          </w:tcPr>
          <w:p>
            <w:pPr>
              <w:widowControl/>
              <w:spacing w:line="360" w:lineRule="exact"/>
              <w:rPr>
                <w:rFonts w:hint="eastAsia" w:ascii="宋体" w:hAnsi="宋体" w:eastAsia="宋体" w:cs="宋体"/>
                <w:lang w:eastAsia="zh-CN"/>
              </w:rPr>
            </w:pPr>
            <w:r>
              <w:rPr>
                <w:rFonts w:hint="eastAsia" w:ascii="宋体" w:hAnsi="宋体" w:cs="宋体"/>
              </w:rPr>
              <w:t>需提供投标人2021年以来在</w:t>
            </w:r>
            <w:r>
              <w:rPr>
                <w:rFonts w:hint="eastAsia" w:ascii="宋体" w:hAnsi="宋体" w:cs="宋体"/>
                <w:lang w:val="en-US" w:eastAsia="zh-CN"/>
              </w:rPr>
              <w:t>省内</w:t>
            </w:r>
            <w:r>
              <w:rPr>
                <w:rFonts w:hint="eastAsia" w:ascii="宋体" w:hAnsi="宋体" w:cs="宋体"/>
              </w:rPr>
              <w:t>三甲医疗机构销售响应产品的业绩证明，每提供1家得</w:t>
            </w:r>
            <w:r>
              <w:rPr>
                <w:rFonts w:hint="eastAsia" w:ascii="宋体" w:hAnsi="宋体" w:cs="宋体"/>
                <w:lang w:val="en-US" w:eastAsia="zh-CN"/>
              </w:rPr>
              <w:t>1</w:t>
            </w:r>
            <w:r>
              <w:rPr>
                <w:rFonts w:hint="eastAsia" w:ascii="宋体" w:hAnsi="宋体" w:cs="宋体"/>
              </w:rPr>
              <w:t>分，最多</w:t>
            </w:r>
            <w:r>
              <w:rPr>
                <w:rFonts w:hint="eastAsia" w:ascii="宋体" w:hAnsi="宋体" w:cs="宋体"/>
                <w:lang w:val="en-US" w:eastAsia="zh-CN"/>
              </w:rPr>
              <w:t>得8</w:t>
            </w:r>
            <w:r>
              <w:rPr>
                <w:rFonts w:hint="eastAsia" w:ascii="宋体" w:hAnsi="宋体" w:cs="宋体"/>
              </w:rPr>
              <w:t xml:space="preserve">分 </w:t>
            </w:r>
            <w:r>
              <w:rPr>
                <w:rFonts w:hint="eastAsia" w:ascii="宋体" w:hAnsi="宋体" w:cs="宋体"/>
                <w:lang w:eastAsia="zh-CN"/>
              </w:rPr>
              <w:t>。</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1100" w:type="dxa"/>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62"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5</w:t>
            </w:r>
          </w:p>
        </w:tc>
        <w:tc>
          <w:tcPr>
            <w:tcW w:w="2060" w:type="dxa"/>
            <w:noWrap w:val="0"/>
            <w:vAlign w:val="center"/>
          </w:tcPr>
          <w:p>
            <w:pPr>
              <w:widowControl/>
              <w:spacing w:line="360" w:lineRule="exact"/>
              <w:jc w:val="center"/>
              <w:rPr>
                <w:rFonts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609" w:type="dxa"/>
            <w:noWrap w:val="0"/>
            <w:vAlign w:val="center"/>
          </w:tcPr>
          <w:p>
            <w:pPr>
              <w:widowControl/>
              <w:spacing w:line="360" w:lineRule="exact"/>
              <w:jc w:val="center"/>
              <w:rPr>
                <w:rFonts w:hint="eastAsia" w:ascii="宋体" w:hAnsi="宋体" w:eastAsia="宋体" w:cs="Segoe UI"/>
                <w:color w:val="333333"/>
                <w:kern w:val="0"/>
                <w:lang w:eastAsia="zh-CN"/>
              </w:rPr>
            </w:pPr>
            <w:r>
              <w:rPr>
                <w:rFonts w:hint="eastAsia" w:ascii="宋体" w:hAnsi="宋体" w:cs="宋体"/>
                <w:lang w:val="en-US" w:eastAsia="zh-CN"/>
              </w:rPr>
              <w:t>6</w:t>
            </w:r>
          </w:p>
        </w:tc>
        <w:tc>
          <w:tcPr>
            <w:tcW w:w="5516" w:type="dxa"/>
            <w:noWrap w:val="0"/>
            <w:vAlign w:val="center"/>
          </w:tcPr>
          <w:p>
            <w:pPr>
              <w:widowControl/>
              <w:spacing w:line="360" w:lineRule="exact"/>
              <w:rPr>
                <w:rFonts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2</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注：内容缺陷是指存在项目名称错误、地点区域错误、内容与本项目需求无关、方案内容矛盾或表述前后不一致、仅有框架或标题、适用的标准(方法)错误、明显复制其他项目内容等任意一种情形。</w:t>
            </w:r>
          </w:p>
        </w:tc>
        <w:tc>
          <w:tcPr>
            <w:tcW w:w="1100" w:type="dxa"/>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1096628"/>
    <w:rsid w:val="43800988"/>
    <w:rsid w:val="45C50E50"/>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35C33F9"/>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 w:type="paragraph" w:customStyle="1" w:styleId="1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2024-09-23T07:11:18Z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