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10049">
      <w:pPr>
        <w:jc w:val="center"/>
        <w:rPr>
          <w:rFonts w:ascii="宋体" w:hAnsi="宋体" w:cs="宋体"/>
          <w:b/>
          <w:bCs/>
          <w:sz w:val="36"/>
          <w:szCs w:val="36"/>
        </w:rPr>
      </w:pPr>
      <w:r>
        <w:rPr>
          <w:rFonts w:hint="eastAsia" w:ascii="宋体" w:hAnsi="宋体" w:cs="宋体"/>
          <w:b/>
          <w:bCs/>
          <w:sz w:val="36"/>
          <w:szCs w:val="36"/>
          <w:lang w:val="en-US" w:eastAsia="zh-CN"/>
        </w:rPr>
        <w:t>国家传染病智能监测预警前置软件</w:t>
      </w:r>
      <w:r>
        <w:rPr>
          <w:rFonts w:hint="eastAsia" w:ascii="宋体" w:hAnsi="宋体" w:cs="宋体"/>
          <w:b/>
          <w:bCs/>
          <w:sz w:val="36"/>
          <w:szCs w:val="36"/>
        </w:rPr>
        <w:t>对接招标参数</w:t>
      </w:r>
    </w:p>
    <w:p w14:paraId="1D669059">
      <w:pPr>
        <w:pStyle w:val="4"/>
        <w:spacing w:after="156" w:line="500" w:lineRule="exact"/>
        <w:jc w:val="left"/>
        <w:rPr>
          <w:rFonts w:cs="仿宋" w:asciiTheme="majorEastAsia" w:hAnsiTheme="majorEastAsia" w:eastAsiaTheme="majorEastAsia"/>
          <w:b/>
          <w:szCs w:val="28"/>
        </w:rPr>
      </w:pPr>
      <w:r>
        <w:rPr>
          <w:rFonts w:hint="eastAsia" w:cs="仿宋" w:asciiTheme="majorEastAsia" w:hAnsiTheme="majorEastAsia" w:eastAsiaTheme="majorEastAsia"/>
          <w:b/>
          <w:szCs w:val="20"/>
        </w:rPr>
        <w:t>注：文中标注“★”号的条款为本项目的实质性要求，供应商应全部满足，否</w:t>
      </w:r>
      <w:r>
        <w:rPr>
          <w:rFonts w:hint="eastAsia" w:cs="仿宋" w:asciiTheme="majorEastAsia" w:hAnsiTheme="majorEastAsia" w:eastAsiaTheme="majorEastAsia"/>
          <w:b/>
          <w:szCs w:val="20"/>
          <w:u w:val="single"/>
        </w:rPr>
        <w:t>则</w:t>
      </w:r>
      <w:r>
        <w:rPr>
          <w:rFonts w:hint="eastAsia" w:cs="仿宋" w:asciiTheme="majorEastAsia" w:hAnsiTheme="majorEastAsia" w:eastAsiaTheme="majorEastAsia"/>
          <w:b/>
          <w:szCs w:val="20"/>
        </w:rPr>
        <w:t>其投标文件作无效处理。“▲”符号的条款为本项目的重要参数条款，未标识符号的条款为一般参数条款。</w:t>
      </w:r>
    </w:p>
    <w:p w14:paraId="14E641C3">
      <w:pPr>
        <w:pStyle w:val="2"/>
        <w:numPr>
          <w:ilvl w:val="0"/>
          <w:numId w:val="1"/>
        </w:numPr>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项目预算及限价</w:t>
      </w:r>
    </w:p>
    <w:p w14:paraId="0764393C">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项目预算：</w:t>
      </w:r>
      <w:r>
        <w:rPr>
          <w:rFonts w:ascii="仿宋" w:hAnsi="仿宋" w:eastAsia="仿宋" w:cs="仿宋"/>
          <w:sz w:val="32"/>
          <w:szCs w:val="32"/>
        </w:rPr>
        <w:t>5.0</w:t>
      </w:r>
      <w:r>
        <w:rPr>
          <w:rFonts w:hint="eastAsia" w:ascii="仿宋" w:hAnsi="仿宋" w:eastAsia="仿宋" w:cs="仿宋"/>
          <w:sz w:val="32"/>
          <w:szCs w:val="32"/>
        </w:rPr>
        <w:t>万，最高限价</w:t>
      </w:r>
      <w:r>
        <w:rPr>
          <w:rFonts w:ascii="仿宋" w:hAnsi="仿宋" w:eastAsia="仿宋" w:cs="仿宋"/>
          <w:sz w:val="32"/>
          <w:szCs w:val="32"/>
        </w:rPr>
        <w:t>5.0</w:t>
      </w:r>
      <w:r>
        <w:rPr>
          <w:rFonts w:hint="eastAsia" w:ascii="仿宋" w:hAnsi="仿宋" w:eastAsia="仿宋" w:cs="仿宋"/>
          <w:sz w:val="32"/>
          <w:szCs w:val="32"/>
        </w:rPr>
        <w:t>万。</w:t>
      </w:r>
    </w:p>
    <w:p w14:paraId="779019A9">
      <w:pPr>
        <w:pStyle w:val="2"/>
        <w:numPr>
          <w:ilvl w:val="0"/>
          <w:numId w:val="1"/>
        </w:numPr>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技术要求</w:t>
      </w:r>
    </w:p>
    <w:p w14:paraId="29290355">
      <w:pPr>
        <w:pStyle w:val="3"/>
        <w:numPr>
          <w:ilvl w:val="1"/>
          <w:numId w:val="2"/>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项目背景</w:t>
      </w:r>
    </w:p>
    <w:p w14:paraId="63412055">
      <w:pPr>
        <w:widowControl/>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按照国家疾控局综合司下发的《关于做好国家传染病智能监控预警前置软件服务器软硬件环境配置的通知》、</w:t>
      </w:r>
      <w:r>
        <w:rPr>
          <w:rFonts w:hint="eastAsia" w:ascii="仿宋" w:hAnsi="仿宋" w:eastAsia="仿宋" w:cs="仿宋"/>
          <w:sz w:val="32"/>
          <w:szCs w:val="32"/>
        </w:rPr>
        <w:t>武侯区卫健局下发的《关于印发成都市武侯区2024 年医疗服务与保障能力提升（传染病监测预警与应急指挥能力提升）中央补助资金实施方案的通知》要求</w:t>
      </w:r>
      <w:r>
        <w:rPr>
          <w:rFonts w:hint="eastAsia" w:ascii="仿宋" w:hAnsi="仿宋" w:eastAsia="仿宋" w:cs="仿宋"/>
          <w:sz w:val="32"/>
          <w:szCs w:val="32"/>
          <w:lang w:eastAsia="zh-CN"/>
        </w:rPr>
        <w:t>，</w:t>
      </w:r>
      <w:r>
        <w:rPr>
          <w:rFonts w:hint="eastAsia" w:ascii="仿宋" w:hAnsi="仿宋" w:eastAsia="仿宋" w:cs="仿宋"/>
          <w:sz w:val="32"/>
          <w:szCs w:val="32"/>
        </w:rPr>
        <w:t>二级及以上公立医疗机构要落实传染病智能监测预警前置软件部署。</w:t>
      </w:r>
    </w:p>
    <w:p w14:paraId="2AF46AC5">
      <w:pPr>
        <w:pStyle w:val="3"/>
        <w:numPr>
          <w:ilvl w:val="1"/>
          <w:numId w:val="2"/>
        </w:numPr>
        <w:spacing w:line="413" w:lineRule="auto"/>
        <w:ind w:left="420" w:right="335"/>
        <w:rPr>
          <w:rFonts w:ascii="仿宋" w:hAnsi="仿宋" w:eastAsia="仿宋" w:cs="仿宋"/>
          <w:bCs/>
          <w:sz w:val="32"/>
          <w:szCs w:val="32"/>
        </w:rPr>
      </w:pPr>
      <w:r>
        <w:rPr>
          <w:rFonts w:hint="eastAsia" w:ascii="黑体" w:hAnsi="黑体" w:eastAsia="黑体" w:cs="黑体"/>
          <w:bCs/>
          <w:kern w:val="0"/>
          <w:sz w:val="32"/>
          <w:szCs w:val="32"/>
          <w:shd w:val="clear" w:color="auto" w:fill="FFFFFF"/>
        </w:rPr>
        <w:t>★</w:t>
      </w:r>
      <w:r>
        <w:rPr>
          <w:rFonts w:hint="eastAsia" w:ascii="仿宋" w:hAnsi="仿宋" w:eastAsia="仿宋" w:cs="仿宋"/>
          <w:bCs/>
          <w:sz w:val="32"/>
          <w:szCs w:val="32"/>
        </w:rPr>
        <w:t>总体要求</w:t>
      </w:r>
    </w:p>
    <w:p w14:paraId="0FEAA39C">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为支撑</w:t>
      </w:r>
      <w:r>
        <w:rPr>
          <w:rFonts w:hint="eastAsia" w:ascii="仿宋" w:hAnsi="仿宋" w:eastAsia="仿宋" w:cs="仿宋"/>
          <w:sz w:val="32"/>
          <w:szCs w:val="32"/>
          <w:lang w:val="en-US" w:eastAsia="zh-CN"/>
        </w:rPr>
        <w:t>国家传染病智能监控预警系统建设</w:t>
      </w:r>
      <w:r>
        <w:rPr>
          <w:rFonts w:hint="eastAsia" w:ascii="仿宋" w:hAnsi="仿宋" w:eastAsia="仿宋" w:cs="仿宋"/>
          <w:sz w:val="32"/>
          <w:szCs w:val="32"/>
        </w:rPr>
        <w:t>，需要按照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国家传染病智能监控预警前置软件数据集规范和数据API接口规范</w:t>
      </w:r>
      <w:r>
        <w:rPr>
          <w:rFonts w:hint="eastAsia" w:ascii="仿宋" w:hAnsi="仿宋" w:eastAsia="仿宋" w:cs="仿宋"/>
          <w:sz w:val="32"/>
          <w:szCs w:val="32"/>
          <w:lang w:eastAsia="zh-CN"/>
        </w:rPr>
        <w:t>”</w:t>
      </w:r>
      <w:r>
        <w:rPr>
          <w:rFonts w:hint="eastAsia" w:ascii="仿宋" w:hAnsi="仿宋" w:eastAsia="仿宋" w:cs="仿宋"/>
          <w:sz w:val="32"/>
          <w:szCs w:val="32"/>
        </w:rPr>
        <w:t>从医院现有各业务系统中采集、清洗、组装满足要求的数据内容。各数据表中的所有字段（不含未使用的扩展预留字段），无论是否是必填项，只要能采集到相关的内容，都应及时、准确地对字段值进行汇聚。</w:t>
      </w:r>
    </w:p>
    <w:p w14:paraId="41C4037D">
      <w:pPr>
        <w:pStyle w:val="3"/>
        <w:numPr>
          <w:ilvl w:val="1"/>
          <w:numId w:val="2"/>
        </w:numPr>
        <w:spacing w:line="413" w:lineRule="auto"/>
        <w:ind w:left="420" w:right="335"/>
        <w:rPr>
          <w:rFonts w:ascii="仿宋" w:hAnsi="仿宋" w:eastAsia="仿宋" w:cs="仿宋"/>
          <w:bCs/>
          <w:sz w:val="32"/>
          <w:szCs w:val="32"/>
        </w:rPr>
      </w:pPr>
      <w:r>
        <w:rPr>
          <w:rFonts w:hint="eastAsia" w:ascii="黑体" w:hAnsi="黑体" w:eastAsia="黑体" w:cs="黑体"/>
          <w:bCs/>
          <w:kern w:val="0"/>
          <w:sz w:val="32"/>
          <w:szCs w:val="32"/>
          <w:shd w:val="clear" w:color="auto" w:fill="FFFFFF"/>
        </w:rPr>
        <w:t>★</w:t>
      </w:r>
      <w:r>
        <w:rPr>
          <w:rFonts w:hint="eastAsia" w:ascii="仿宋" w:hAnsi="仿宋" w:eastAsia="仿宋" w:cs="仿宋"/>
          <w:bCs/>
          <w:sz w:val="32"/>
          <w:szCs w:val="32"/>
        </w:rPr>
        <w:t>对接内容</w:t>
      </w:r>
    </w:p>
    <w:p w14:paraId="37DE8D31">
      <w:pPr>
        <w:widowControl/>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1. </w:t>
      </w:r>
      <w:r>
        <w:rPr>
          <w:rFonts w:hint="eastAsia" w:ascii="仿宋" w:hAnsi="仿宋" w:eastAsia="仿宋" w:cs="仿宋"/>
          <w:sz w:val="32"/>
          <w:szCs w:val="32"/>
          <w:lang w:val="en-US" w:eastAsia="zh-CN"/>
        </w:rPr>
        <w:t>对接内容</w:t>
      </w:r>
      <w:r>
        <w:rPr>
          <w:rFonts w:hint="eastAsia" w:ascii="仿宋" w:hAnsi="仿宋" w:eastAsia="仿宋" w:cs="仿宋"/>
          <w:sz w:val="32"/>
          <w:szCs w:val="32"/>
        </w:rPr>
        <w:t>包括</w:t>
      </w:r>
      <w:r>
        <w:rPr>
          <w:rFonts w:hint="eastAsia" w:ascii="仿宋" w:hAnsi="仿宋" w:eastAsia="仿宋" w:cs="仿宋"/>
          <w:sz w:val="32"/>
          <w:szCs w:val="32"/>
          <w:lang w:val="en-US" w:eastAsia="zh-CN"/>
        </w:rPr>
        <w:t>患者基本信息表、诊疗活动信息表、传染病报告卡、门（急）诊病历、门（急）诊留观记录、入院记录、住院首次病程记录、住院日常病程记录、住院病案首页、出院记录、检查报告、检查报告项目、检验报告、检验报告项目、医嘱处方信息、医嘱处方条目、死亡信息、医院信息系统用户信息、医院信息系统科室信息等</w:t>
      </w:r>
      <w:r>
        <w:rPr>
          <w:rFonts w:hint="eastAsia" w:ascii="仿宋" w:hAnsi="仿宋" w:eastAsia="仿宋" w:cs="仿宋"/>
          <w:sz w:val="32"/>
          <w:szCs w:val="32"/>
        </w:rPr>
        <w:t>。</w:t>
      </w:r>
    </w:p>
    <w:p w14:paraId="4E5D21CD">
      <w:pPr>
        <w:widowControl/>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支持实时、异步等方式进行上传，以提升用户体验；对于采用异步方式，时间间隔可配置，最长时间间隔不得超过30分钟。</w:t>
      </w:r>
    </w:p>
    <w:p w14:paraId="0DBC0C4E">
      <w:pPr>
        <w:widowControl/>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需要对上传结果进行长期（不得少于2年）保存，并支持指定时间段的报表查询和导出，包括但不限于上传详情、分类统计等信息。</w:t>
      </w:r>
    </w:p>
    <w:p w14:paraId="334744C5">
      <w:pPr>
        <w:widowControl/>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 需提供业务交互过程中的系统关系、流程图等业务设计材料，以及提供便捷方式查看接口交互详情。同时，合规的交易失败数据，支持自动、定期重新发送。</w:t>
      </w:r>
    </w:p>
    <w:p w14:paraId="6FCE4631">
      <w:pPr>
        <w:widowControl/>
        <w:ind w:firstLine="640" w:firstLineChars="200"/>
        <w:jc w:val="left"/>
        <w:rPr>
          <w:rFonts w:hint="default" w:ascii="仿宋" w:hAnsi="仿宋" w:eastAsia="仿宋" w:cs="仿宋"/>
          <w:sz w:val="32"/>
          <w:szCs w:val="32"/>
          <w:lang w:val="en-US" w:eastAsia="zh-CN"/>
        </w:rPr>
      </w:pPr>
    </w:p>
    <w:p w14:paraId="5A0EC013">
      <w:pPr>
        <w:pStyle w:val="2"/>
        <w:numPr>
          <w:ilvl w:val="0"/>
          <w:numId w:val="1"/>
        </w:numPr>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★商务要求</w:t>
      </w:r>
    </w:p>
    <w:p w14:paraId="6CCB0A05">
      <w:pPr>
        <w:pStyle w:val="3"/>
        <w:numPr>
          <w:ilvl w:val="0"/>
          <w:numId w:val="3"/>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合同履行期限（包括项目交付期限和质保期）及地点</w:t>
      </w:r>
    </w:p>
    <w:p w14:paraId="444C5D86">
      <w:pPr>
        <w:widowControl/>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ascii="仿宋" w:hAnsi="仿宋" w:eastAsia="仿宋" w:cs="仿宋"/>
          <w:sz w:val="32"/>
          <w:szCs w:val="32"/>
        </w:rPr>
        <w:t xml:space="preserve">. </w:t>
      </w:r>
      <w:r>
        <w:rPr>
          <w:rFonts w:hint="eastAsia" w:ascii="仿宋" w:hAnsi="仿宋" w:eastAsia="仿宋" w:cs="仿宋"/>
          <w:sz w:val="32"/>
          <w:szCs w:val="32"/>
        </w:rPr>
        <w:t>项目交付期限：</w:t>
      </w:r>
      <w:r>
        <w:rPr>
          <w:rFonts w:hint="eastAsia" w:ascii="仿宋" w:hAnsi="仿宋" w:eastAsia="仿宋" w:cs="仿宋"/>
          <w:sz w:val="32"/>
          <w:szCs w:val="32"/>
          <w:lang w:val="en-US" w:eastAsia="zh-CN"/>
        </w:rPr>
        <w:t>在规定期限内</w:t>
      </w:r>
      <w:r>
        <w:rPr>
          <w:rFonts w:hint="eastAsia" w:ascii="仿宋" w:hAnsi="仿宋" w:eastAsia="仿宋" w:cs="仿宋"/>
          <w:sz w:val="32"/>
          <w:szCs w:val="32"/>
        </w:rPr>
        <w:t>完成对接，并交付采购人验收。</w:t>
      </w:r>
    </w:p>
    <w:p w14:paraId="66407C71">
      <w:pPr>
        <w:keepNext w:val="0"/>
        <w:keepLines w:val="0"/>
        <w:pageBreakBefore w:val="0"/>
        <w:widowControl/>
        <w:numPr>
          <w:ilvl w:val="0"/>
          <w:numId w:val="0"/>
        </w:numPr>
        <w:kinsoku/>
        <w:wordWrap/>
        <w:overflowPunct/>
        <w:topLinePunct w:val="0"/>
        <w:autoSpaceDE/>
        <w:autoSpaceDN/>
        <w:bidi w:val="0"/>
        <w:adjustRightInd/>
        <w:snapToGrid/>
        <w:ind w:left="840" w:leftChars="40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投标人需要在合同签订生效</w:t>
      </w:r>
      <w:r>
        <w:rPr>
          <w:rFonts w:hint="eastAsia" w:ascii="仿宋" w:hAnsi="仿宋" w:eastAsia="仿宋" w:cs="仿宋"/>
          <w:sz w:val="32"/>
          <w:szCs w:val="32"/>
          <w:lang w:val="en-US" w:eastAsia="zh-CN"/>
        </w:rPr>
        <w:t>1</w:t>
      </w:r>
      <w:r>
        <w:rPr>
          <w:rFonts w:hint="eastAsia" w:ascii="仿宋" w:hAnsi="仿宋" w:eastAsia="仿宋" w:cs="仿宋"/>
          <w:sz w:val="32"/>
          <w:szCs w:val="32"/>
        </w:rPr>
        <w:t>个月内完成接口研制，具备随时调测的必要条件</w:t>
      </w:r>
      <w:r>
        <w:rPr>
          <w:rFonts w:hint="eastAsia" w:ascii="仿宋" w:hAnsi="仿宋" w:eastAsia="仿宋" w:cs="仿宋"/>
          <w:sz w:val="32"/>
          <w:szCs w:val="32"/>
          <w:lang w:eastAsia="zh-CN"/>
        </w:rPr>
        <w:t>。</w:t>
      </w:r>
    </w:p>
    <w:p w14:paraId="24A4534D">
      <w:pPr>
        <w:keepNext w:val="0"/>
        <w:keepLines w:val="0"/>
        <w:pageBreakBefore w:val="0"/>
        <w:widowControl/>
        <w:numPr>
          <w:ilvl w:val="0"/>
          <w:numId w:val="0"/>
        </w:numPr>
        <w:kinsoku/>
        <w:wordWrap/>
        <w:overflowPunct/>
        <w:topLinePunct w:val="0"/>
        <w:autoSpaceDE/>
        <w:autoSpaceDN/>
        <w:bidi w:val="0"/>
        <w:adjustRightInd/>
        <w:snapToGrid/>
        <w:ind w:left="840" w:leftChars="40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在前置软件部署成功</w:t>
      </w:r>
      <w:r>
        <w:rPr>
          <w:rFonts w:hint="eastAsia" w:ascii="仿宋" w:hAnsi="仿宋" w:eastAsia="仿宋" w:cs="仿宋"/>
          <w:sz w:val="32"/>
          <w:szCs w:val="32"/>
          <w:lang w:val="en-US" w:eastAsia="zh-CN"/>
        </w:rPr>
        <w:t>且接口对接具备</w:t>
      </w:r>
      <w:r>
        <w:rPr>
          <w:rFonts w:hint="eastAsia" w:ascii="仿宋" w:hAnsi="仿宋" w:eastAsia="仿宋" w:cs="仿宋"/>
          <w:sz w:val="32"/>
          <w:szCs w:val="32"/>
        </w:rPr>
        <w:t>随时调测的必要条件，投标人应在1个月内完成接口调测并成功上线运行，有效对接时间(接口研制+接口调测)不能超过2个月</w:t>
      </w:r>
      <w:r>
        <w:rPr>
          <w:rFonts w:hint="eastAsia" w:ascii="仿宋" w:hAnsi="仿宋" w:eastAsia="仿宋" w:cs="仿宋"/>
          <w:sz w:val="32"/>
          <w:szCs w:val="32"/>
          <w:lang w:eastAsia="zh-CN"/>
        </w:rPr>
        <w:t>。</w:t>
      </w:r>
    </w:p>
    <w:p w14:paraId="62084AEB">
      <w:pPr>
        <w:keepNext w:val="0"/>
        <w:keepLines w:val="0"/>
        <w:pageBreakBefore w:val="0"/>
        <w:widowControl/>
        <w:numPr>
          <w:ilvl w:val="0"/>
          <w:numId w:val="0"/>
        </w:numPr>
        <w:kinsoku/>
        <w:wordWrap/>
        <w:overflowPunct/>
        <w:topLinePunct w:val="0"/>
        <w:autoSpaceDE/>
        <w:autoSpaceDN/>
        <w:bidi w:val="0"/>
        <w:adjustRightInd/>
        <w:snapToGrid/>
        <w:ind w:left="840" w:leftChars="400" w:firstLine="0" w:firstLineChars="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因院方原因</w:t>
      </w:r>
      <w:r>
        <w:rPr>
          <w:rFonts w:hint="eastAsia" w:ascii="仿宋" w:hAnsi="仿宋" w:eastAsia="仿宋" w:cs="仿宋"/>
          <w:sz w:val="32"/>
          <w:szCs w:val="32"/>
          <w:lang w:val="en-US" w:eastAsia="zh-CN"/>
        </w:rPr>
        <w:t>导致前置软件未部署在国产硬件平台</w:t>
      </w:r>
      <w:r>
        <w:rPr>
          <w:rFonts w:hint="eastAsia" w:ascii="仿宋" w:hAnsi="仿宋" w:eastAsia="仿宋" w:cs="仿宋"/>
          <w:sz w:val="32"/>
          <w:szCs w:val="32"/>
        </w:rPr>
        <w:t>，投标人需承诺在</w:t>
      </w:r>
      <w:r>
        <w:rPr>
          <w:rFonts w:hint="eastAsia" w:ascii="仿宋" w:hAnsi="仿宋" w:eastAsia="仿宋" w:cs="仿宋"/>
          <w:sz w:val="32"/>
          <w:szCs w:val="32"/>
          <w:lang w:val="en-US" w:eastAsia="zh-CN"/>
        </w:rPr>
        <w:t>国产</w:t>
      </w:r>
      <w:r>
        <w:rPr>
          <w:rFonts w:hint="eastAsia" w:ascii="仿宋" w:hAnsi="仿宋" w:eastAsia="仿宋" w:cs="仿宋"/>
          <w:sz w:val="32"/>
          <w:szCs w:val="32"/>
        </w:rPr>
        <w:t>硬件平台就位后，15个工作日内完成服务切换、调测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数据续传</w:t>
      </w:r>
      <w:r>
        <w:rPr>
          <w:rFonts w:hint="eastAsia" w:ascii="仿宋" w:hAnsi="仿宋" w:eastAsia="仿宋" w:cs="仿宋"/>
          <w:sz w:val="32"/>
          <w:szCs w:val="32"/>
        </w:rPr>
        <w:t>等事项</w:t>
      </w:r>
      <w:bookmarkStart w:id="0" w:name="_GoBack"/>
      <w:bookmarkEnd w:id="0"/>
      <w:r>
        <w:rPr>
          <w:rFonts w:hint="eastAsia" w:ascii="仿宋" w:hAnsi="仿宋" w:eastAsia="仿宋" w:cs="仿宋"/>
          <w:sz w:val="32"/>
          <w:szCs w:val="32"/>
          <w:lang w:eastAsia="zh-CN"/>
        </w:rPr>
        <w:t>。</w:t>
      </w:r>
    </w:p>
    <w:p w14:paraId="40ACB353">
      <w:pPr>
        <w:widowControl/>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 xml:space="preserve">. </w:t>
      </w:r>
      <w:r>
        <w:rPr>
          <w:rFonts w:hint="eastAsia" w:ascii="仿宋" w:hAnsi="仿宋" w:eastAsia="仿宋" w:cs="仿宋"/>
          <w:sz w:val="32"/>
          <w:szCs w:val="32"/>
        </w:rPr>
        <w:t>合同履行地点: 四川省妇幼保健院。</w:t>
      </w:r>
    </w:p>
    <w:p w14:paraId="125945B0">
      <w:pPr>
        <w:widowControl/>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 xml:space="preserve">. </w:t>
      </w:r>
      <w:r>
        <w:rPr>
          <w:rFonts w:hint="eastAsia" w:ascii="仿宋" w:hAnsi="仿宋" w:eastAsia="仿宋" w:cs="仿宋"/>
          <w:sz w:val="32"/>
          <w:szCs w:val="32"/>
        </w:rPr>
        <w:t>质保期：1年（从项目整体验收合格日起计算）。</w:t>
      </w:r>
    </w:p>
    <w:p w14:paraId="716B67C2">
      <w:pPr>
        <w:widowControl/>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 涉及与院内其他应用系统的业务对接、接口研制、费用支付等问题，由</w:t>
      </w:r>
      <w:r>
        <w:rPr>
          <w:rFonts w:hint="eastAsia" w:ascii="仿宋" w:hAnsi="仿宋" w:eastAsia="仿宋" w:cs="仿宋"/>
          <w:sz w:val="32"/>
          <w:szCs w:val="32"/>
        </w:rPr>
        <w:t>投标人</w:t>
      </w:r>
      <w:r>
        <w:rPr>
          <w:rFonts w:hint="eastAsia" w:ascii="仿宋" w:hAnsi="仿宋" w:eastAsia="仿宋" w:cs="仿宋"/>
          <w:sz w:val="32"/>
          <w:szCs w:val="32"/>
          <w:lang w:val="en-US" w:eastAsia="zh-CN"/>
        </w:rPr>
        <w:t>承担。</w:t>
      </w:r>
    </w:p>
    <w:p w14:paraId="06C1AB6D">
      <w:pPr>
        <w:pStyle w:val="3"/>
        <w:numPr>
          <w:ilvl w:val="0"/>
          <w:numId w:val="3"/>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付款方式和条件</w:t>
      </w:r>
    </w:p>
    <w:p w14:paraId="4EDA2DD8">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合同签订后，对接完成并验收合格后支付合同金额的90%，验收合格一年后支付合同金额的10%。</w:t>
      </w:r>
    </w:p>
    <w:p w14:paraId="26B9B1E8">
      <w:pPr>
        <w:pStyle w:val="3"/>
        <w:numPr>
          <w:ilvl w:val="0"/>
          <w:numId w:val="3"/>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售后服务</w:t>
      </w:r>
    </w:p>
    <w:p w14:paraId="3CEAE008">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 xml:space="preserve">. </w:t>
      </w:r>
      <w:r>
        <w:rPr>
          <w:rFonts w:hint="eastAsia" w:ascii="仿宋" w:hAnsi="仿宋" w:eastAsia="仿宋" w:cs="仿宋"/>
          <w:sz w:val="32"/>
          <w:szCs w:val="32"/>
        </w:rPr>
        <w:t>根据采购人指定的地点和时间，投标人负责派工程师上门完成软件安装、测试、培训等。</w:t>
      </w:r>
    </w:p>
    <w:p w14:paraId="471387B6">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 xml:space="preserve">. </w:t>
      </w:r>
      <w:r>
        <w:rPr>
          <w:rFonts w:hint="eastAsia" w:ascii="仿宋" w:hAnsi="仿宋" w:eastAsia="仿宋" w:cs="仿宋"/>
          <w:sz w:val="32"/>
          <w:szCs w:val="32"/>
        </w:rPr>
        <w:t>服务期内供应商提供免费的维保服务，软件7×24小时售后技术服务。接到采购人通知后应确保半小时内响应，2小时内排除故障。如采购人要求提供现场服务，应在4小时内到达采购人指定地点。</w:t>
      </w:r>
    </w:p>
    <w:p w14:paraId="19A16914">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 xml:space="preserve">. </w:t>
      </w:r>
      <w:r>
        <w:rPr>
          <w:rFonts w:hint="eastAsia" w:ascii="仿宋" w:hAnsi="仿宋" w:eastAsia="仿宋" w:cs="仿宋"/>
          <w:sz w:val="32"/>
          <w:szCs w:val="32"/>
        </w:rPr>
        <w:t>对于同一类型的线上问题，当出现次数达到</w:t>
      </w:r>
      <w:r>
        <w:rPr>
          <w:rFonts w:ascii="仿宋" w:hAnsi="仿宋" w:eastAsia="仿宋" w:cs="仿宋"/>
          <w:sz w:val="32"/>
          <w:szCs w:val="32"/>
        </w:rPr>
        <w:t>2</w:t>
      </w:r>
      <w:r>
        <w:rPr>
          <w:rFonts w:hint="eastAsia" w:ascii="仿宋" w:hAnsi="仿宋" w:eastAsia="仿宋" w:cs="仿宋"/>
          <w:sz w:val="32"/>
          <w:szCs w:val="32"/>
        </w:rPr>
        <w:t>次，应由供应商提供书面报告，包括但不限于故障分析、解决措施、潜在风险等内容，同时需要项目负责人及以上职位人员签字。</w:t>
      </w:r>
    </w:p>
    <w:p w14:paraId="6048D365">
      <w:pPr>
        <w:pStyle w:val="3"/>
        <w:numPr>
          <w:ilvl w:val="0"/>
          <w:numId w:val="3"/>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验收标准和方法</w:t>
      </w:r>
    </w:p>
    <w:p w14:paraId="64E2AD32">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按照《财政部关于进一步加强政府采购需求和履约验收管理的指导意见》（财库〔2016〕205号）、供应商的响应文件及有关承诺以及合同约定标准规定进行验收。</w:t>
      </w:r>
    </w:p>
    <w:p w14:paraId="671B3965">
      <w:pPr>
        <w:pStyle w:val="3"/>
        <w:numPr>
          <w:ilvl w:val="0"/>
          <w:numId w:val="3"/>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其他要求</w:t>
      </w:r>
    </w:p>
    <w:p w14:paraId="62E0BB1F">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 xml:space="preserve"> </w:t>
      </w:r>
      <w:r>
        <w:rPr>
          <w:rFonts w:hint="eastAsia" w:ascii="仿宋" w:hAnsi="仿宋" w:eastAsia="仿宋" w:cs="仿宋"/>
          <w:sz w:val="32"/>
          <w:szCs w:val="32"/>
        </w:rPr>
        <w:t>约谈督促改正，并每次扣除合同金额5%；</w:t>
      </w:r>
    </w:p>
    <w:p w14:paraId="360C553C">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 xml:space="preserve"> </w:t>
      </w:r>
      <w:r>
        <w:rPr>
          <w:rFonts w:hint="eastAsia" w:ascii="仿宋" w:hAnsi="仿宋" w:eastAsia="仿宋" w:cs="仿宋"/>
          <w:sz w:val="32"/>
          <w:szCs w:val="32"/>
        </w:rPr>
        <w:t>解除与投标人的采购/合作合同；</w:t>
      </w:r>
    </w:p>
    <w:p w14:paraId="1A75B68E">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 xml:space="preserve"> </w:t>
      </w:r>
      <w:r>
        <w:rPr>
          <w:rFonts w:hint="eastAsia" w:ascii="仿宋" w:hAnsi="仿宋" w:eastAsia="仿宋" w:cs="仿宋"/>
          <w:sz w:val="32"/>
          <w:szCs w:val="32"/>
        </w:rPr>
        <w:t>承担采购人所受损失并向采购人支付实际损失金额1～5倍的违约金，投标人承担损失金额及违约金都将从货款中扣除，扣除后不足部分由投标人补足。</w:t>
      </w:r>
    </w:p>
    <w:p w14:paraId="30E9176A">
      <w:pPr>
        <w:pStyle w:val="3"/>
        <w:numPr>
          <w:ilvl w:val="0"/>
          <w:numId w:val="3"/>
        </w:numPr>
        <w:spacing w:line="413" w:lineRule="auto"/>
        <w:ind w:left="420" w:right="335"/>
        <w:rPr>
          <w:rFonts w:ascii="仿宋" w:hAnsi="仿宋" w:eastAsia="仿宋" w:cs="仿宋"/>
          <w:bCs/>
          <w:sz w:val="32"/>
          <w:szCs w:val="32"/>
        </w:rPr>
      </w:pPr>
      <w:r>
        <w:rPr>
          <w:rFonts w:hint="eastAsia" w:ascii="仿宋" w:hAnsi="仿宋" w:eastAsia="仿宋" w:cs="仿宋"/>
          <w:bCs/>
          <w:sz w:val="32"/>
          <w:szCs w:val="32"/>
        </w:rPr>
        <w:t>知识产权</w:t>
      </w:r>
    </w:p>
    <w:p w14:paraId="79340F54">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7D239B6E">
      <w:pPr>
        <w:widowControl/>
        <w:adjustRightInd w:val="0"/>
        <w:snapToGrid w:val="0"/>
        <w:spacing w:line="360" w:lineRule="auto"/>
        <w:jc w:val="left"/>
        <w:rPr>
          <w:rFonts w:ascii="仿宋" w:hAnsi="仿宋" w:eastAsia="仿宋" w:cs="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F213C2"/>
    <w:multiLevelType w:val="multilevel"/>
    <w:tmpl w:val="36F213C2"/>
    <w:lvl w:ilvl="0" w:tentative="0">
      <w:start w:val="1"/>
      <w:numFmt w:val="chineseCountingThousand"/>
      <w:lvlText w:val="(%1)"/>
      <w:lvlJc w:val="left"/>
      <w:pPr>
        <w:ind w:left="420" w:hanging="420"/>
      </w:p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ABC0607"/>
    <w:multiLevelType w:val="multilevel"/>
    <w:tmpl w:val="3ABC0607"/>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7D4D5289"/>
    <w:multiLevelType w:val="multilevel"/>
    <w:tmpl w:val="7D4D5289"/>
    <w:lvl w:ilvl="0" w:tentative="0">
      <w:start w:val="1"/>
      <w:numFmt w:val="chineseCountingThousand"/>
      <w:suff w:val="space"/>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hZGE2ZGFjYjljMGNlZmUzZWU0YWQ2YzMzZDcwYWYifQ=="/>
  </w:docVars>
  <w:rsids>
    <w:rsidRoot w:val="00EC0D4A"/>
    <w:rsid w:val="00024852"/>
    <w:rsid w:val="000329F4"/>
    <w:rsid w:val="00035119"/>
    <w:rsid w:val="00036AA2"/>
    <w:rsid w:val="000372B8"/>
    <w:rsid w:val="000653F1"/>
    <w:rsid w:val="00070E34"/>
    <w:rsid w:val="000B0BFB"/>
    <w:rsid w:val="000B7952"/>
    <w:rsid w:val="000E298F"/>
    <w:rsid w:val="002016E6"/>
    <w:rsid w:val="00221B3C"/>
    <w:rsid w:val="002344C9"/>
    <w:rsid w:val="0024654F"/>
    <w:rsid w:val="00273956"/>
    <w:rsid w:val="002864B3"/>
    <w:rsid w:val="002A2AE5"/>
    <w:rsid w:val="002C5771"/>
    <w:rsid w:val="002F07DA"/>
    <w:rsid w:val="003026E8"/>
    <w:rsid w:val="00304EB7"/>
    <w:rsid w:val="0030662F"/>
    <w:rsid w:val="00307D2A"/>
    <w:rsid w:val="003A3707"/>
    <w:rsid w:val="003F5A75"/>
    <w:rsid w:val="00424924"/>
    <w:rsid w:val="00452689"/>
    <w:rsid w:val="00474F07"/>
    <w:rsid w:val="004B01FF"/>
    <w:rsid w:val="004C34A9"/>
    <w:rsid w:val="004D23DE"/>
    <w:rsid w:val="004F5101"/>
    <w:rsid w:val="004F690F"/>
    <w:rsid w:val="00515E11"/>
    <w:rsid w:val="005269CB"/>
    <w:rsid w:val="00553361"/>
    <w:rsid w:val="00555249"/>
    <w:rsid w:val="005A1C41"/>
    <w:rsid w:val="005B4084"/>
    <w:rsid w:val="005B7D2F"/>
    <w:rsid w:val="005C6214"/>
    <w:rsid w:val="00623090"/>
    <w:rsid w:val="006437DD"/>
    <w:rsid w:val="0065365E"/>
    <w:rsid w:val="0068295A"/>
    <w:rsid w:val="00693BF6"/>
    <w:rsid w:val="006A6198"/>
    <w:rsid w:val="006A6E05"/>
    <w:rsid w:val="006C4BA6"/>
    <w:rsid w:val="006D342E"/>
    <w:rsid w:val="006F0141"/>
    <w:rsid w:val="006F7567"/>
    <w:rsid w:val="00743C1B"/>
    <w:rsid w:val="00757E5B"/>
    <w:rsid w:val="00796AC0"/>
    <w:rsid w:val="007B6F65"/>
    <w:rsid w:val="008268F8"/>
    <w:rsid w:val="00827242"/>
    <w:rsid w:val="00834C26"/>
    <w:rsid w:val="00852706"/>
    <w:rsid w:val="00863B59"/>
    <w:rsid w:val="00890A2A"/>
    <w:rsid w:val="008F32D1"/>
    <w:rsid w:val="009057A9"/>
    <w:rsid w:val="00945B69"/>
    <w:rsid w:val="009A1E2D"/>
    <w:rsid w:val="009F6763"/>
    <w:rsid w:val="00A010BF"/>
    <w:rsid w:val="00A40483"/>
    <w:rsid w:val="00A522DA"/>
    <w:rsid w:val="00A741F4"/>
    <w:rsid w:val="00A82816"/>
    <w:rsid w:val="00AA7424"/>
    <w:rsid w:val="00B0183C"/>
    <w:rsid w:val="00B02B69"/>
    <w:rsid w:val="00B066CB"/>
    <w:rsid w:val="00B3468A"/>
    <w:rsid w:val="00B91E2C"/>
    <w:rsid w:val="00BA1A55"/>
    <w:rsid w:val="00BE1175"/>
    <w:rsid w:val="00C05893"/>
    <w:rsid w:val="00C25F9E"/>
    <w:rsid w:val="00C5333B"/>
    <w:rsid w:val="00C6500D"/>
    <w:rsid w:val="00C679A0"/>
    <w:rsid w:val="00C83DF3"/>
    <w:rsid w:val="00C93DD9"/>
    <w:rsid w:val="00CF0E5D"/>
    <w:rsid w:val="00D411D9"/>
    <w:rsid w:val="00D91ED8"/>
    <w:rsid w:val="00DA0069"/>
    <w:rsid w:val="00DA15D5"/>
    <w:rsid w:val="00DF1AC7"/>
    <w:rsid w:val="00E03FBC"/>
    <w:rsid w:val="00E41866"/>
    <w:rsid w:val="00E56E70"/>
    <w:rsid w:val="00EC0D4A"/>
    <w:rsid w:val="00F247E8"/>
    <w:rsid w:val="00F34408"/>
    <w:rsid w:val="00F832A5"/>
    <w:rsid w:val="00F83AB2"/>
    <w:rsid w:val="00F90691"/>
    <w:rsid w:val="011078C7"/>
    <w:rsid w:val="01785B98"/>
    <w:rsid w:val="01DF5C17"/>
    <w:rsid w:val="02421D02"/>
    <w:rsid w:val="02753E85"/>
    <w:rsid w:val="02C646E1"/>
    <w:rsid w:val="032F672A"/>
    <w:rsid w:val="0337738D"/>
    <w:rsid w:val="034B41E7"/>
    <w:rsid w:val="03CC21CB"/>
    <w:rsid w:val="03EE0393"/>
    <w:rsid w:val="03F11C32"/>
    <w:rsid w:val="042E69E2"/>
    <w:rsid w:val="04C80BE4"/>
    <w:rsid w:val="04C9670A"/>
    <w:rsid w:val="04DC01EC"/>
    <w:rsid w:val="051200B1"/>
    <w:rsid w:val="053F077B"/>
    <w:rsid w:val="05622109"/>
    <w:rsid w:val="05A056BD"/>
    <w:rsid w:val="05AA2098"/>
    <w:rsid w:val="05B20F4D"/>
    <w:rsid w:val="05F41BCC"/>
    <w:rsid w:val="06606BFB"/>
    <w:rsid w:val="067A7CBC"/>
    <w:rsid w:val="072639A0"/>
    <w:rsid w:val="07E55609"/>
    <w:rsid w:val="08E27D9B"/>
    <w:rsid w:val="099C619C"/>
    <w:rsid w:val="09BC05EC"/>
    <w:rsid w:val="09C86F91"/>
    <w:rsid w:val="0AC23898"/>
    <w:rsid w:val="0ADF0A36"/>
    <w:rsid w:val="0B0E4E77"/>
    <w:rsid w:val="0BD53BE7"/>
    <w:rsid w:val="0BF64289"/>
    <w:rsid w:val="0C790A16"/>
    <w:rsid w:val="0C831D5A"/>
    <w:rsid w:val="0CBD0903"/>
    <w:rsid w:val="0CC872A8"/>
    <w:rsid w:val="0D8B0A01"/>
    <w:rsid w:val="0DD51C7C"/>
    <w:rsid w:val="0DE40111"/>
    <w:rsid w:val="0E202F31"/>
    <w:rsid w:val="0E813810"/>
    <w:rsid w:val="0ED24590"/>
    <w:rsid w:val="0F096081"/>
    <w:rsid w:val="0F1113DA"/>
    <w:rsid w:val="10DF0939"/>
    <w:rsid w:val="11292A0B"/>
    <w:rsid w:val="1145536B"/>
    <w:rsid w:val="11737CC0"/>
    <w:rsid w:val="119D0D03"/>
    <w:rsid w:val="11E423EF"/>
    <w:rsid w:val="129F0AAB"/>
    <w:rsid w:val="12B502CE"/>
    <w:rsid w:val="13CE7899"/>
    <w:rsid w:val="14DA401C"/>
    <w:rsid w:val="15145780"/>
    <w:rsid w:val="15891CCA"/>
    <w:rsid w:val="15EE7D7F"/>
    <w:rsid w:val="169528F0"/>
    <w:rsid w:val="16D72F09"/>
    <w:rsid w:val="1715758D"/>
    <w:rsid w:val="17A50911"/>
    <w:rsid w:val="17E05DED"/>
    <w:rsid w:val="17EC6540"/>
    <w:rsid w:val="1804388A"/>
    <w:rsid w:val="18147845"/>
    <w:rsid w:val="18194E5B"/>
    <w:rsid w:val="191775ED"/>
    <w:rsid w:val="19197809"/>
    <w:rsid w:val="19632832"/>
    <w:rsid w:val="197014E6"/>
    <w:rsid w:val="19D83220"/>
    <w:rsid w:val="1A3B730B"/>
    <w:rsid w:val="1A7C004F"/>
    <w:rsid w:val="1ABA46D4"/>
    <w:rsid w:val="1AC15A62"/>
    <w:rsid w:val="1B012302"/>
    <w:rsid w:val="1B124510"/>
    <w:rsid w:val="1B3D2A70"/>
    <w:rsid w:val="1B416BA3"/>
    <w:rsid w:val="1BAD248A"/>
    <w:rsid w:val="1D682B0D"/>
    <w:rsid w:val="1DA653E3"/>
    <w:rsid w:val="1E0A7720"/>
    <w:rsid w:val="1E340C41"/>
    <w:rsid w:val="1E7B23CC"/>
    <w:rsid w:val="1EB53B30"/>
    <w:rsid w:val="1EEE7112"/>
    <w:rsid w:val="1F226CEB"/>
    <w:rsid w:val="1F2B2044"/>
    <w:rsid w:val="1F42113B"/>
    <w:rsid w:val="20032679"/>
    <w:rsid w:val="206770AC"/>
    <w:rsid w:val="206E043A"/>
    <w:rsid w:val="20FB77F4"/>
    <w:rsid w:val="211865F8"/>
    <w:rsid w:val="2127683B"/>
    <w:rsid w:val="21336F8E"/>
    <w:rsid w:val="21515666"/>
    <w:rsid w:val="21AB746C"/>
    <w:rsid w:val="21BC3427"/>
    <w:rsid w:val="225C2514"/>
    <w:rsid w:val="22833F45"/>
    <w:rsid w:val="22E545B0"/>
    <w:rsid w:val="22E9024C"/>
    <w:rsid w:val="22FA342B"/>
    <w:rsid w:val="22FB6C99"/>
    <w:rsid w:val="231D6147"/>
    <w:rsid w:val="234E00AF"/>
    <w:rsid w:val="23C6058D"/>
    <w:rsid w:val="25290DD3"/>
    <w:rsid w:val="2540611D"/>
    <w:rsid w:val="25421E95"/>
    <w:rsid w:val="254774AC"/>
    <w:rsid w:val="26A30712"/>
    <w:rsid w:val="26B24DF9"/>
    <w:rsid w:val="26E17B69"/>
    <w:rsid w:val="27225ADA"/>
    <w:rsid w:val="27B70919"/>
    <w:rsid w:val="288A7DDB"/>
    <w:rsid w:val="28E55011"/>
    <w:rsid w:val="29177195"/>
    <w:rsid w:val="296A7401"/>
    <w:rsid w:val="296F6FD1"/>
    <w:rsid w:val="29D3130E"/>
    <w:rsid w:val="2A3A138D"/>
    <w:rsid w:val="2A4346E5"/>
    <w:rsid w:val="2AA64C74"/>
    <w:rsid w:val="2AEB2687"/>
    <w:rsid w:val="2B6F5066"/>
    <w:rsid w:val="2BC929C8"/>
    <w:rsid w:val="2C354C9F"/>
    <w:rsid w:val="2C82701B"/>
    <w:rsid w:val="2CBF3DCB"/>
    <w:rsid w:val="2CD827F5"/>
    <w:rsid w:val="2CEB6A1F"/>
    <w:rsid w:val="2CEE645F"/>
    <w:rsid w:val="2D1063D5"/>
    <w:rsid w:val="2DA059AB"/>
    <w:rsid w:val="2DD36A70"/>
    <w:rsid w:val="2E6E3CFB"/>
    <w:rsid w:val="2EE75DBB"/>
    <w:rsid w:val="2F2D7712"/>
    <w:rsid w:val="2F4D21A0"/>
    <w:rsid w:val="2F8B61E7"/>
    <w:rsid w:val="30316D8E"/>
    <w:rsid w:val="31E367AE"/>
    <w:rsid w:val="31F75DB5"/>
    <w:rsid w:val="31F960F7"/>
    <w:rsid w:val="3247743F"/>
    <w:rsid w:val="32782DE4"/>
    <w:rsid w:val="327F0285"/>
    <w:rsid w:val="328A09D8"/>
    <w:rsid w:val="335039CF"/>
    <w:rsid w:val="34727975"/>
    <w:rsid w:val="3490033B"/>
    <w:rsid w:val="349D2C44"/>
    <w:rsid w:val="34C53F49"/>
    <w:rsid w:val="34EB7E53"/>
    <w:rsid w:val="357C0AAC"/>
    <w:rsid w:val="35A61FCC"/>
    <w:rsid w:val="35EA010B"/>
    <w:rsid w:val="362C24D2"/>
    <w:rsid w:val="3632560E"/>
    <w:rsid w:val="365B4B65"/>
    <w:rsid w:val="37531CE0"/>
    <w:rsid w:val="380F20AB"/>
    <w:rsid w:val="3991089E"/>
    <w:rsid w:val="39BF540B"/>
    <w:rsid w:val="39DC420F"/>
    <w:rsid w:val="3AE570F3"/>
    <w:rsid w:val="3AF86E26"/>
    <w:rsid w:val="3B9F72A2"/>
    <w:rsid w:val="3BAC7C11"/>
    <w:rsid w:val="3BC66F24"/>
    <w:rsid w:val="3C187054"/>
    <w:rsid w:val="3C8A1D00"/>
    <w:rsid w:val="3C94492D"/>
    <w:rsid w:val="3CA03619"/>
    <w:rsid w:val="3D2E2FD3"/>
    <w:rsid w:val="3D536596"/>
    <w:rsid w:val="3D985639"/>
    <w:rsid w:val="3DBB238D"/>
    <w:rsid w:val="3E157CEF"/>
    <w:rsid w:val="3F9904AC"/>
    <w:rsid w:val="3FBB6674"/>
    <w:rsid w:val="3FE71217"/>
    <w:rsid w:val="402B55A8"/>
    <w:rsid w:val="4047615A"/>
    <w:rsid w:val="40896772"/>
    <w:rsid w:val="40A86BF9"/>
    <w:rsid w:val="42134546"/>
    <w:rsid w:val="430D368B"/>
    <w:rsid w:val="43805C0B"/>
    <w:rsid w:val="4392593E"/>
    <w:rsid w:val="43FD725B"/>
    <w:rsid w:val="44F05012"/>
    <w:rsid w:val="4565330A"/>
    <w:rsid w:val="456D6663"/>
    <w:rsid w:val="457E43CC"/>
    <w:rsid w:val="465C2F72"/>
    <w:rsid w:val="468679DC"/>
    <w:rsid w:val="469320F9"/>
    <w:rsid w:val="46A778E0"/>
    <w:rsid w:val="46E12E64"/>
    <w:rsid w:val="46E841F3"/>
    <w:rsid w:val="46F54B62"/>
    <w:rsid w:val="472E597E"/>
    <w:rsid w:val="487A3570"/>
    <w:rsid w:val="48CA7928"/>
    <w:rsid w:val="48FC3F85"/>
    <w:rsid w:val="49357497"/>
    <w:rsid w:val="493C6A78"/>
    <w:rsid w:val="493F0316"/>
    <w:rsid w:val="497F6965"/>
    <w:rsid w:val="498A0F44"/>
    <w:rsid w:val="49AD1724"/>
    <w:rsid w:val="4A6F0787"/>
    <w:rsid w:val="4B95421D"/>
    <w:rsid w:val="4BED5E07"/>
    <w:rsid w:val="4DD3727F"/>
    <w:rsid w:val="4E157897"/>
    <w:rsid w:val="4E296E9F"/>
    <w:rsid w:val="4EF15C0F"/>
    <w:rsid w:val="502E69EF"/>
    <w:rsid w:val="51234079"/>
    <w:rsid w:val="5277467D"/>
    <w:rsid w:val="52884ADC"/>
    <w:rsid w:val="53146370"/>
    <w:rsid w:val="53E67D0C"/>
    <w:rsid w:val="53FD32A8"/>
    <w:rsid w:val="54EB3100"/>
    <w:rsid w:val="54FC530D"/>
    <w:rsid w:val="554C0043"/>
    <w:rsid w:val="55BE25C3"/>
    <w:rsid w:val="56551179"/>
    <w:rsid w:val="571C5DB6"/>
    <w:rsid w:val="57882E88"/>
    <w:rsid w:val="58450D79"/>
    <w:rsid w:val="58F5454D"/>
    <w:rsid w:val="591E1CF6"/>
    <w:rsid w:val="592D3CE7"/>
    <w:rsid w:val="59605E6B"/>
    <w:rsid w:val="59AC5554"/>
    <w:rsid w:val="59D800F7"/>
    <w:rsid w:val="5A513A05"/>
    <w:rsid w:val="5A673229"/>
    <w:rsid w:val="5A785436"/>
    <w:rsid w:val="5B1038C0"/>
    <w:rsid w:val="5B5C08B4"/>
    <w:rsid w:val="5BAC3CD8"/>
    <w:rsid w:val="5BE56AFB"/>
    <w:rsid w:val="5C6E4D42"/>
    <w:rsid w:val="5C8C341B"/>
    <w:rsid w:val="5CBD5382"/>
    <w:rsid w:val="5CCE758F"/>
    <w:rsid w:val="5D9B1B67"/>
    <w:rsid w:val="5E29091E"/>
    <w:rsid w:val="5E646909"/>
    <w:rsid w:val="5E7F4FE5"/>
    <w:rsid w:val="5E9B7945"/>
    <w:rsid w:val="5EC40C4A"/>
    <w:rsid w:val="5F622211"/>
    <w:rsid w:val="5FDA624B"/>
    <w:rsid w:val="60567FC7"/>
    <w:rsid w:val="61D02C2C"/>
    <w:rsid w:val="61DF3FED"/>
    <w:rsid w:val="62155967"/>
    <w:rsid w:val="6300421A"/>
    <w:rsid w:val="631C3C7B"/>
    <w:rsid w:val="63A86D8C"/>
    <w:rsid w:val="63B21C22"/>
    <w:rsid w:val="63C60FC0"/>
    <w:rsid w:val="63E458EA"/>
    <w:rsid w:val="64373C6C"/>
    <w:rsid w:val="6445282D"/>
    <w:rsid w:val="6457430E"/>
    <w:rsid w:val="64616F3B"/>
    <w:rsid w:val="64BA03AB"/>
    <w:rsid w:val="65752C9E"/>
    <w:rsid w:val="65AC2438"/>
    <w:rsid w:val="661E1587"/>
    <w:rsid w:val="66B94E0C"/>
    <w:rsid w:val="66BB1BF1"/>
    <w:rsid w:val="670C5884"/>
    <w:rsid w:val="6727621A"/>
    <w:rsid w:val="679F4002"/>
    <w:rsid w:val="67B81568"/>
    <w:rsid w:val="67EE6D37"/>
    <w:rsid w:val="68064081"/>
    <w:rsid w:val="681D761D"/>
    <w:rsid w:val="68525518"/>
    <w:rsid w:val="6872099E"/>
    <w:rsid w:val="687E455F"/>
    <w:rsid w:val="69392234"/>
    <w:rsid w:val="69CD0C33"/>
    <w:rsid w:val="6A1B7B8C"/>
    <w:rsid w:val="6A425119"/>
    <w:rsid w:val="6B58613A"/>
    <w:rsid w:val="6CA049D4"/>
    <w:rsid w:val="6CB322FE"/>
    <w:rsid w:val="6CB95B66"/>
    <w:rsid w:val="6CCE0EE6"/>
    <w:rsid w:val="6D0B213A"/>
    <w:rsid w:val="6D162FB8"/>
    <w:rsid w:val="6D2F5E28"/>
    <w:rsid w:val="6D567859"/>
    <w:rsid w:val="6D885538"/>
    <w:rsid w:val="6D9E6B0A"/>
    <w:rsid w:val="6E8E3022"/>
    <w:rsid w:val="6EE669BA"/>
    <w:rsid w:val="6EF2710D"/>
    <w:rsid w:val="6F4D07E7"/>
    <w:rsid w:val="6FF9271D"/>
    <w:rsid w:val="701A2DBF"/>
    <w:rsid w:val="70EE5FFA"/>
    <w:rsid w:val="70F52EE5"/>
    <w:rsid w:val="7161057A"/>
    <w:rsid w:val="719B1CDE"/>
    <w:rsid w:val="71AF1398"/>
    <w:rsid w:val="71F25676"/>
    <w:rsid w:val="72233A82"/>
    <w:rsid w:val="7258197D"/>
    <w:rsid w:val="72640322"/>
    <w:rsid w:val="73886292"/>
    <w:rsid w:val="73A155A6"/>
    <w:rsid w:val="740D49E9"/>
    <w:rsid w:val="747F58E7"/>
    <w:rsid w:val="74F51705"/>
    <w:rsid w:val="75EA6D90"/>
    <w:rsid w:val="7601232C"/>
    <w:rsid w:val="764D731F"/>
    <w:rsid w:val="76612DCA"/>
    <w:rsid w:val="76F8372F"/>
    <w:rsid w:val="77813724"/>
    <w:rsid w:val="77B05DB7"/>
    <w:rsid w:val="77CB499F"/>
    <w:rsid w:val="78197E01"/>
    <w:rsid w:val="784B5AE0"/>
    <w:rsid w:val="78743289"/>
    <w:rsid w:val="78BB4A14"/>
    <w:rsid w:val="799139C7"/>
    <w:rsid w:val="79D35D8D"/>
    <w:rsid w:val="7A342CD0"/>
    <w:rsid w:val="7A49604F"/>
    <w:rsid w:val="7A5944E4"/>
    <w:rsid w:val="7A7C4677"/>
    <w:rsid w:val="7A8C48BA"/>
    <w:rsid w:val="7BF81ADB"/>
    <w:rsid w:val="7C285BA2"/>
    <w:rsid w:val="7C7C44BA"/>
    <w:rsid w:val="7C8F68E3"/>
    <w:rsid w:val="7D0F532E"/>
    <w:rsid w:val="7D580A83"/>
    <w:rsid w:val="7D5D253D"/>
    <w:rsid w:val="7E1F77F3"/>
    <w:rsid w:val="7E7538B7"/>
    <w:rsid w:val="7E891110"/>
    <w:rsid w:val="7E9D09D9"/>
    <w:rsid w:val="7EF7251E"/>
    <w:rsid w:val="7F98785D"/>
    <w:rsid w:val="7FB4003A"/>
    <w:rsid w:val="7FEC5DFB"/>
    <w:rsid w:val="7FF07699"/>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2"/>
    <w:basedOn w:val="1"/>
    <w:next w:val="4"/>
    <w:qFormat/>
    <w:uiPriority w:val="99"/>
    <w:pPr>
      <w:keepNext/>
      <w:keepLines/>
      <w:spacing w:before="100" w:beforeAutospacing="1" w:after="100" w:afterAutospacing="1" w:line="412" w:lineRule="auto"/>
      <w:ind w:right="332"/>
      <w:outlineLvl w:val="1"/>
    </w:pPr>
    <w:rPr>
      <w:rFonts w:ascii="宋体"/>
      <w:b/>
      <w:sz w:val="30"/>
      <w:szCs w:val="30"/>
    </w:rPr>
  </w:style>
  <w:style w:type="paragraph" w:styleId="5">
    <w:name w:val="heading 3"/>
    <w:basedOn w:val="1"/>
    <w:next w:val="1"/>
    <w:qFormat/>
    <w:uiPriority w:val="99"/>
    <w:pPr>
      <w:keepNext/>
      <w:keepLines/>
      <w:spacing w:before="100" w:beforeAutospacing="1" w:after="100" w:afterAutospacing="1" w:line="412" w:lineRule="auto"/>
      <w:outlineLvl w:val="2"/>
    </w:pPr>
    <w:rPr>
      <w:b/>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unhideWhenUsed/>
    <w:qFormat/>
    <w:uiPriority w:val="99"/>
    <w:pPr>
      <w:widowControl/>
      <w:autoSpaceDE w:val="0"/>
      <w:autoSpaceDN w:val="0"/>
      <w:spacing w:before="100" w:beforeAutospacing="1" w:afterLines="50" w:line="320" w:lineRule="atLeast"/>
      <w:ind w:firstLine="454"/>
    </w:pPr>
    <w:rPr>
      <w:kern w:val="0"/>
      <w:sz w:val="22"/>
      <w:szCs w:val="22"/>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szCs w:val="22"/>
    </w:rPr>
  </w:style>
  <w:style w:type="character" w:customStyle="1" w:styleId="11">
    <w:name w:val="页眉 字符"/>
    <w:basedOn w:val="10"/>
    <w:link w:val="7"/>
    <w:qFormat/>
    <w:uiPriority w:val="0"/>
    <w:rPr>
      <w:rFonts w:ascii="Calibri" w:hAnsi="Calibri"/>
      <w:kern w:val="2"/>
      <w:sz w:val="18"/>
      <w:szCs w:val="18"/>
    </w:rPr>
  </w:style>
  <w:style w:type="character" w:customStyle="1" w:styleId="12">
    <w:name w:val="页脚 字符"/>
    <w:basedOn w:val="10"/>
    <w:link w:val="6"/>
    <w:qFormat/>
    <w:uiPriority w:val="0"/>
    <w:rPr>
      <w:rFonts w:ascii="Calibri" w:hAnsi="Calibri"/>
      <w:kern w:val="2"/>
      <w:sz w:val="18"/>
      <w:szCs w:val="18"/>
    </w:rPr>
  </w:style>
  <w:style w:type="paragraph" w:customStyle="1" w:styleId="13">
    <w:name w:val="缩进正文"/>
    <w:basedOn w:val="1"/>
    <w:link w:val="14"/>
    <w:qFormat/>
    <w:uiPriority w:val="0"/>
    <w:pPr>
      <w:wordWrap w:val="0"/>
      <w:adjustRightInd w:val="0"/>
      <w:spacing w:line="420" w:lineRule="auto"/>
      <w:ind w:left="200" w:leftChars="200" w:firstLine="200" w:firstLineChars="200"/>
      <w:jc w:val="left"/>
    </w:pPr>
    <w:rPr>
      <w:rFonts w:eastAsia="仿宋"/>
      <w:sz w:val="28"/>
    </w:rPr>
  </w:style>
  <w:style w:type="character" w:customStyle="1" w:styleId="14">
    <w:name w:val="缩进正文 Char"/>
    <w:link w:val="13"/>
    <w:qFormat/>
    <w:uiPriority w:val="0"/>
    <w:rPr>
      <w:rFonts w:ascii="Calibri" w:hAnsi="Calibri" w:eastAsia="仿宋"/>
      <w:kern w:val="2"/>
      <w:sz w:val="28"/>
      <w:szCs w:val="24"/>
    </w:rPr>
  </w:style>
  <w:style w:type="character" w:customStyle="1" w:styleId="15">
    <w:name w:val="标题 1 字符"/>
    <w:basedOn w:val="10"/>
    <w:link w:val="2"/>
    <w:qFormat/>
    <w:uiPriority w:val="0"/>
    <w:rPr>
      <w:rFonts w:ascii="Calibri" w:hAnsi="Calibri"/>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1727</Words>
  <Characters>1763</Characters>
  <Lines>12</Lines>
  <Paragraphs>3</Paragraphs>
  <TotalTime>1</TotalTime>
  <ScaleCrop>false</ScaleCrop>
  <LinksUpToDate>false</LinksUpToDate>
  <CharactersWithSpaces>1779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2024-06-11T03:40:00Z</dcterms:created>
  <dc:creator>yb</dc:creator>
  <cp:lastModifiedBy>何黎明</cp:lastModifiedBy>
  <dcterms:modified xsi:type="dcterms:W3CDTF">2024-09-13T09:59:56Z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A86196DC55A944629B0640B42E07B07D_13</vt:lpwstr>
  </property>
</Properties>
</file>