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四川省妇幼保健院礼仪服采购项目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市场调研公告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一、项目名称：礼仪服采购项目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二、本市场调研项目在四川妇幼保健网主页(http:∥www.fybj.net)上公开发布（提供免费下载），供符合条件的潜在供应商前来参加市场调研。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三、市场调研期限：2024年9月27日-10月9日。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市场调研期间，请各潜在供应商在工作日到我院综合楼3楼行政办公室（310）递交资料，资料递交截止时间为9月11日17:00。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四、市场调研需求（见附件1）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（一）封面（注明项目名称、公司名称、联系人、联系电话、加盖供应商印章）；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（二）目录（必须标记页码）；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（三）有效的营业执照、税务登记证、组织机构代码证或三证合一营业执照[副本](复印件需加盖公章）。若为分公司，请提供总公司相关授权书；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  <w:lang w:eastAsia="zh-CN"/>
        </w:rPr>
        <w:t>法定代表人授权书（见附件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）,法定代表人、授权代表身份证复印件；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公司简介及资质水平（包括礼仪服款式、生产线、售后服务能力等），提供相关证明材料；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（六）公司业绩（近3年同类型服装采购的情况），提供相关证明材料；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（七）报价一览表（见附件3）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（八）近三年无违法和安全卫生事故记录证明；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（九）其他需要说明的内容；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（十）封底。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六、其他说明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（一）根据要求及自身实际用A4纸编制市场调研书，严格按上述第五条的装订顺序进行编制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（二）提供的所有资料须加盖鲜章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sz w:val="32"/>
          <w:szCs w:val="32"/>
        </w:rPr>
        <w:t>市场调研书的递交：调研期间工作日08:00—12:00、14:00-17:30，一式一份送交四川省妇幼保健院综合楼3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行政办公室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地址：四川省成都市武侯区沙堰西二街290号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联系人：王老师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电话：65978232/60671023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1.礼仪服采购项目市场调研需求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.报价明细表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礼仪服采购需求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1.单套价格≦450元；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2.提供良好的售后服务，其中：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包换：凡6个月内出现非人为质量问题的；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包修：凡12个月内出现开线、配饰损耗等质量问题或需修改尺寸的；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包退：服装未穿用或购买之日起30天内，有破洞、接缝开线、严重掉色或其它严重质量问题的。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法定代表人授权书</w:t>
      </w:r>
    </w:p>
    <w:p>
      <w:pPr>
        <w:spacing w:line="276" w:lineRule="auto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tabs>
          <w:tab w:val="left" w:pos="6300"/>
        </w:tabs>
        <w:spacing w:line="276" w:lineRule="auto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本授权委托书声明：我         系          的法定代表人，现授权      为我公司委托代理人，以本公司的名义参加四川省妇幼保健院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礼仪服采购招标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活动。委托代理人在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礼仪服采购招标</w:t>
      </w: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活动过程中所签署的一切文件和处理与之有关的一切事务，我及我的公司均予以承认并全部承担其产生的所有权利和义务。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zh-CN"/>
        </w:rPr>
        <w:t>委托代理人无转委托权。特此委托。</w:t>
      </w:r>
    </w:p>
    <w:p>
      <w:pPr>
        <w:tabs>
          <w:tab w:val="left" w:pos="720"/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特此声明</w:t>
      </w: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法定代表人签字：</w:t>
      </w:r>
    </w:p>
    <w:p>
      <w:pPr>
        <w:tabs>
          <w:tab w:val="left" w:pos="6300"/>
        </w:tabs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授权代表签字：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投标人名称：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 xml:space="preserve">      （加盖公章）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>
      <w:pPr>
        <w:spacing w:line="276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★说明：上述证明文件附有法定代表人、被授权代表身份证复印件（加盖公章）时才能生效。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报价一览表</w:t>
      </w:r>
    </w:p>
    <w:tbl>
      <w:tblPr>
        <w:tblStyle w:val="4"/>
        <w:tblW w:w="7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667"/>
        <w:gridCol w:w="1936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材质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冬季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礼仪服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春秋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礼仪服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礼仪服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1.不同材质的套装可自行添加行；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2.不同类产品同种材质不同款式的礼仪服，不接受单价变动。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71956"/>
    <w:rsid w:val="011A3165"/>
    <w:rsid w:val="013A3612"/>
    <w:rsid w:val="02730A81"/>
    <w:rsid w:val="029D3ED2"/>
    <w:rsid w:val="035E5CE6"/>
    <w:rsid w:val="0452058F"/>
    <w:rsid w:val="0D6D2456"/>
    <w:rsid w:val="1440162B"/>
    <w:rsid w:val="19183D2F"/>
    <w:rsid w:val="3DE71956"/>
    <w:rsid w:val="4C702901"/>
    <w:rsid w:val="4F14347B"/>
    <w:rsid w:val="575B1EFD"/>
    <w:rsid w:val="59475482"/>
    <w:rsid w:val="626C57E5"/>
    <w:rsid w:val="67327373"/>
    <w:rsid w:val="6A30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 3"/>
    <w:basedOn w:val="1"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2024-09-05T08:42:00Z</dcterms:created>
  <dc:creator>biu~❄️</dc:creator>
  <cp:lastModifiedBy>biu~❄️</cp:lastModifiedBy>
  <dcterms:modified xsi:type="dcterms:W3CDTF">2024-09-27T02:19:15Z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