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ascii="仿宋" w:hAnsi="仿宋" w:eastAsia="仿宋" w:cs="Segoe UI"/>
          <w:b/>
          <w:color w:val="333333"/>
          <w:spacing w:val="8"/>
          <w:kern w:val="0"/>
          <w:sz w:val="28"/>
          <w:szCs w:val="28"/>
        </w:rPr>
      </w:pPr>
      <w:r>
        <w:rPr>
          <w:rFonts w:hint="eastAsia" w:ascii="黑体" w:hAnsi="黑体" w:eastAsia="黑体" w:cs="Segoe UI"/>
          <w:color w:val="333333"/>
          <w:kern w:val="0"/>
          <w:sz w:val="32"/>
          <w:szCs w:val="32"/>
        </w:rPr>
        <w:t>附件1：</w:t>
      </w:r>
      <w:r>
        <w:rPr>
          <w:rFonts w:hint="eastAsia" w:ascii="仿宋" w:hAnsi="仿宋" w:eastAsia="仿宋" w:cs="Segoe UI"/>
          <w:b/>
          <w:color w:val="333333"/>
          <w:spacing w:val="8"/>
          <w:kern w:val="0"/>
          <w:sz w:val="28"/>
          <w:szCs w:val="28"/>
        </w:rPr>
        <w:t>采购项目需求</w:t>
      </w:r>
    </w:p>
    <w:p>
      <w:pPr>
        <w:spacing w:line="360" w:lineRule="exact"/>
        <w:jc w:val="left"/>
        <w:rPr>
          <w:b/>
          <w:bCs/>
        </w:rPr>
      </w:pPr>
      <w:r>
        <w:rPr>
          <w:rFonts w:hint="eastAsia"/>
          <w:b/>
          <w:bCs/>
        </w:rPr>
        <w:t>一、采购标的：</w:t>
      </w:r>
    </w:p>
    <w:p>
      <w:pPr>
        <w:spacing w:line="360" w:lineRule="exact"/>
        <w:jc w:val="left"/>
        <w:rPr>
          <w:rFonts w:ascii="宋体" w:hAnsi="宋体" w:eastAsia="宋体" w:cs="宋体"/>
        </w:rPr>
      </w:pPr>
      <w:r>
        <w:rPr>
          <w:rFonts w:hint="eastAsia" w:ascii="宋体" w:hAnsi="宋体" w:eastAsia="宋体" w:cs="宋体"/>
        </w:rPr>
        <w:t>备注：超过最高限价的报价，视为无效投标</w:t>
      </w:r>
    </w:p>
    <w:tbl>
      <w:tblPr>
        <w:tblStyle w:val="11"/>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2"/>
        <w:gridCol w:w="1508"/>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936" w:type="pct"/>
            <w:vAlign w:val="center"/>
          </w:tcPr>
          <w:p>
            <w:pPr>
              <w:spacing w:line="360" w:lineRule="exact"/>
              <w:jc w:val="center"/>
              <w:rPr>
                <w:rFonts w:hint="eastAsia" w:ascii="宋体" w:hAnsi="宋体" w:eastAsia="宋体" w:cs="宋体"/>
              </w:rPr>
            </w:pPr>
            <w:r>
              <w:rPr>
                <w:rFonts w:hint="eastAsia" w:ascii="宋体" w:hAnsi="宋体" w:eastAsia="宋体" w:cs="宋体"/>
                <w:lang w:val="en-US" w:eastAsia="zh-CN"/>
              </w:rPr>
              <w:t>设备</w:t>
            </w:r>
            <w:r>
              <w:rPr>
                <w:rFonts w:hint="eastAsia" w:ascii="宋体" w:hAnsi="宋体" w:eastAsia="宋体" w:cs="宋体"/>
              </w:rPr>
              <w:t>名称</w:t>
            </w:r>
          </w:p>
        </w:tc>
        <w:tc>
          <w:tcPr>
            <w:tcW w:w="896" w:type="pct"/>
            <w:vAlign w:val="center"/>
          </w:tcPr>
          <w:p>
            <w:pPr>
              <w:spacing w:line="360" w:lineRule="exact"/>
              <w:jc w:val="center"/>
              <w:rPr>
                <w:rFonts w:hint="eastAsia" w:ascii="宋体" w:hAnsi="宋体" w:eastAsia="宋体" w:cs="宋体"/>
              </w:rPr>
            </w:pPr>
            <w:r>
              <w:rPr>
                <w:rFonts w:hint="eastAsia" w:ascii="宋体" w:hAnsi="宋体" w:eastAsia="宋体" w:cs="宋体"/>
              </w:rPr>
              <w:t>数量</w:t>
            </w:r>
          </w:p>
        </w:tc>
        <w:tc>
          <w:tcPr>
            <w:tcW w:w="1167" w:type="pct"/>
            <w:vAlign w:val="center"/>
          </w:tcPr>
          <w:p>
            <w:pPr>
              <w:spacing w:line="360" w:lineRule="exact"/>
              <w:jc w:val="center"/>
              <w:rPr>
                <w:rFonts w:hint="eastAsia" w:ascii="宋体" w:hAnsi="宋体" w:eastAsia="宋体" w:cs="宋体"/>
              </w:rPr>
            </w:pPr>
            <w:r>
              <w:rPr>
                <w:rFonts w:hint="eastAsia" w:ascii="宋体" w:hAnsi="宋体" w:eastAsia="宋体" w:cs="宋体"/>
              </w:rPr>
              <w:t>最高限价</w:t>
            </w:r>
          </w:p>
          <w:p>
            <w:pPr>
              <w:spacing w:line="360" w:lineRule="exact"/>
              <w:jc w:val="center"/>
              <w:rPr>
                <w:rFonts w:hint="eastAsia" w:ascii="宋体" w:hAnsi="宋体" w:eastAsia="宋体" w:cs="宋体"/>
              </w:rPr>
            </w:pPr>
            <w:r>
              <w:rPr>
                <w:rFonts w:hint="eastAsia" w:ascii="宋体" w:hAnsi="宋体" w:eastAsia="宋体"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936" w:type="pct"/>
            <w:vAlign w:val="center"/>
          </w:tcPr>
          <w:p>
            <w:pPr>
              <w:widowControl/>
              <w:spacing w:line="600" w:lineRule="exact"/>
              <w:jc w:val="left"/>
              <w:rPr>
                <w:rFonts w:hint="eastAsia" w:ascii="宋体" w:hAnsi="宋体" w:eastAsia="宋体" w:cs="宋体"/>
              </w:rPr>
            </w:pPr>
            <w:r>
              <w:rPr>
                <w:rFonts w:hint="eastAsia" w:ascii="Times New Roman" w:hAnsi="Times New Roman" w:eastAsia="宋体" w:cs="Times New Roman"/>
                <w:lang w:val="en-US" w:eastAsia="zh-CN"/>
              </w:rPr>
              <w:t>中医定向透药治疗仪</w:t>
            </w:r>
          </w:p>
        </w:tc>
        <w:tc>
          <w:tcPr>
            <w:tcW w:w="896" w:type="pct"/>
            <w:vAlign w:val="center"/>
          </w:tcPr>
          <w:p>
            <w:pPr>
              <w:widowControl/>
              <w:spacing w:line="600" w:lineRule="exact"/>
              <w:jc w:val="center"/>
              <w:rPr>
                <w:rFonts w:hint="default" w:ascii="宋体" w:hAnsi="宋体" w:eastAsia="宋体" w:cs="宋体"/>
                <w:lang w:val="en-US"/>
              </w:rPr>
            </w:pPr>
            <w:r>
              <w:rPr>
                <w:rFonts w:hint="eastAsia" w:ascii="Times New Roman" w:hAnsi="Times New Roman" w:eastAsia="宋体" w:cs="Times New Roman"/>
                <w:lang w:val="en-US" w:eastAsia="zh-CN"/>
              </w:rPr>
              <w:t>2台</w:t>
            </w:r>
          </w:p>
        </w:tc>
        <w:tc>
          <w:tcPr>
            <w:tcW w:w="1167" w:type="pct"/>
            <w:vMerge w:val="restart"/>
            <w:vAlign w:val="center"/>
          </w:tcPr>
          <w:p>
            <w:pPr>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2936" w:type="pct"/>
            <w:vAlign w:val="center"/>
          </w:tcPr>
          <w:p>
            <w:pPr>
              <w:widowControl/>
              <w:spacing w:line="600" w:lineRule="exact"/>
              <w:jc w:val="left"/>
              <w:rPr>
                <w:rFonts w:hint="eastAsia" w:ascii="宋体" w:hAnsi="宋体" w:eastAsia="宋体" w:cs="宋体"/>
              </w:rPr>
            </w:pPr>
            <w:r>
              <w:rPr>
                <w:rFonts w:hint="eastAsia" w:ascii="Times New Roman" w:hAnsi="Times New Roman" w:eastAsia="宋体" w:cs="Times New Roman"/>
                <w:lang w:val="en-US" w:eastAsia="zh-CN"/>
              </w:rPr>
              <w:t>中医熏蒸治疗仪</w:t>
            </w:r>
          </w:p>
        </w:tc>
        <w:tc>
          <w:tcPr>
            <w:tcW w:w="896" w:type="pct"/>
            <w:vAlign w:val="center"/>
          </w:tcPr>
          <w:p>
            <w:pPr>
              <w:widowControl/>
              <w:spacing w:line="600" w:lineRule="exact"/>
              <w:jc w:val="center"/>
              <w:rPr>
                <w:rFonts w:hint="eastAsia" w:ascii="宋体" w:hAnsi="宋体" w:eastAsia="宋体" w:cs="宋体"/>
                <w:lang w:val="en-US" w:eastAsia="zh-CN"/>
              </w:rPr>
            </w:pPr>
            <w:r>
              <w:rPr>
                <w:rFonts w:hint="eastAsia" w:ascii="Times New Roman" w:hAnsi="Times New Roman" w:eastAsia="宋体" w:cs="Times New Roman"/>
                <w:lang w:val="en-US" w:eastAsia="zh-CN"/>
              </w:rPr>
              <w:t>2台</w:t>
            </w:r>
          </w:p>
        </w:tc>
        <w:tc>
          <w:tcPr>
            <w:tcW w:w="1167" w:type="pct"/>
            <w:vMerge w:val="continue"/>
            <w:vAlign w:val="center"/>
          </w:tcPr>
          <w:p>
            <w:pPr>
              <w:spacing w:line="360" w:lineRule="exact"/>
              <w:jc w:val="cente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936" w:type="pct"/>
            <w:vAlign w:val="center"/>
          </w:tcPr>
          <w:p>
            <w:pPr>
              <w:widowControl/>
              <w:spacing w:line="600" w:lineRule="exact"/>
              <w:jc w:val="left"/>
              <w:rPr>
                <w:rFonts w:hint="eastAsia" w:ascii="宋体" w:hAnsi="宋体" w:eastAsia="宋体" w:cs="宋体"/>
              </w:rPr>
            </w:pPr>
            <w:r>
              <w:rPr>
                <w:rFonts w:hint="eastAsia" w:ascii="Times New Roman" w:hAnsi="Times New Roman" w:eastAsia="宋体" w:cs="Times New Roman"/>
                <w:lang w:val="en-US" w:eastAsia="zh-CN"/>
              </w:rPr>
              <w:t>中医封包综合治疗仪</w:t>
            </w:r>
          </w:p>
        </w:tc>
        <w:tc>
          <w:tcPr>
            <w:tcW w:w="896" w:type="pct"/>
            <w:vAlign w:val="center"/>
          </w:tcPr>
          <w:p>
            <w:pPr>
              <w:widowControl/>
              <w:spacing w:line="600" w:lineRule="exact"/>
              <w:jc w:val="center"/>
              <w:rPr>
                <w:rFonts w:hint="eastAsia" w:ascii="宋体" w:hAnsi="宋体" w:eastAsia="宋体" w:cs="宋体"/>
                <w:lang w:val="en-US" w:eastAsia="zh-CN"/>
              </w:rPr>
            </w:pPr>
            <w:r>
              <w:rPr>
                <w:rFonts w:hint="eastAsia" w:ascii="Times New Roman" w:hAnsi="Times New Roman" w:eastAsia="宋体" w:cs="Times New Roman"/>
                <w:lang w:val="en-US" w:eastAsia="zh-CN"/>
              </w:rPr>
              <w:t>20台</w:t>
            </w:r>
          </w:p>
        </w:tc>
        <w:tc>
          <w:tcPr>
            <w:tcW w:w="1167" w:type="pct"/>
            <w:vMerge w:val="continue"/>
            <w:vAlign w:val="center"/>
          </w:tcPr>
          <w:p>
            <w:pPr>
              <w:spacing w:line="360" w:lineRule="exact"/>
              <w:jc w:val="cente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936" w:type="pct"/>
            <w:vAlign w:val="center"/>
          </w:tcPr>
          <w:p>
            <w:pPr>
              <w:widowControl/>
              <w:spacing w:line="600" w:lineRule="exact"/>
              <w:jc w:val="left"/>
              <w:rPr>
                <w:rFonts w:hint="eastAsia" w:ascii="宋体" w:hAnsi="宋体" w:eastAsia="宋体" w:cs="宋体"/>
              </w:rPr>
            </w:pPr>
            <w:r>
              <w:rPr>
                <w:rFonts w:hint="eastAsia" w:ascii="Times New Roman" w:hAnsi="Times New Roman" w:eastAsia="宋体" w:cs="Times New Roman"/>
                <w:lang w:val="en-US" w:eastAsia="zh-CN"/>
              </w:rPr>
              <w:t>浮针进针器</w:t>
            </w:r>
          </w:p>
        </w:tc>
        <w:tc>
          <w:tcPr>
            <w:tcW w:w="896" w:type="pct"/>
            <w:vAlign w:val="center"/>
          </w:tcPr>
          <w:p>
            <w:pPr>
              <w:widowControl/>
              <w:spacing w:line="600" w:lineRule="exact"/>
              <w:jc w:val="center"/>
              <w:rPr>
                <w:rFonts w:hint="eastAsia" w:ascii="宋体" w:hAnsi="宋体" w:eastAsia="宋体" w:cs="宋体"/>
                <w:lang w:val="en-US" w:eastAsia="zh-CN"/>
              </w:rPr>
            </w:pPr>
            <w:r>
              <w:rPr>
                <w:rFonts w:hint="eastAsia" w:ascii="Times New Roman" w:hAnsi="Times New Roman" w:eastAsia="宋体" w:cs="Times New Roman"/>
                <w:lang w:val="en-US" w:eastAsia="zh-CN"/>
              </w:rPr>
              <w:t>10台</w:t>
            </w:r>
          </w:p>
        </w:tc>
        <w:tc>
          <w:tcPr>
            <w:tcW w:w="1167" w:type="pct"/>
            <w:vMerge w:val="continue"/>
            <w:vAlign w:val="center"/>
          </w:tcPr>
          <w:p>
            <w:pPr>
              <w:spacing w:line="360" w:lineRule="exact"/>
              <w:jc w:val="cente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936" w:type="pct"/>
            <w:vAlign w:val="center"/>
          </w:tcPr>
          <w:p>
            <w:pPr>
              <w:widowControl/>
              <w:spacing w:line="600" w:lineRule="exact"/>
              <w:jc w:val="left"/>
              <w:rPr>
                <w:rFonts w:hint="eastAsia" w:ascii="宋体" w:hAnsi="宋体" w:eastAsia="宋体" w:cs="宋体"/>
              </w:rPr>
            </w:pPr>
            <w:r>
              <w:rPr>
                <w:rFonts w:hint="eastAsia" w:ascii="Times New Roman" w:hAnsi="Times New Roman" w:eastAsia="宋体" w:cs="Times New Roman"/>
                <w:lang w:val="en-US" w:eastAsia="zh-CN"/>
              </w:rPr>
              <w:t>废液引流置物架</w:t>
            </w:r>
          </w:p>
        </w:tc>
        <w:tc>
          <w:tcPr>
            <w:tcW w:w="896" w:type="pct"/>
            <w:vAlign w:val="center"/>
          </w:tcPr>
          <w:p>
            <w:pPr>
              <w:widowControl/>
              <w:spacing w:line="600" w:lineRule="exact"/>
              <w:jc w:val="center"/>
              <w:rPr>
                <w:rFonts w:hint="eastAsia" w:ascii="宋体" w:hAnsi="宋体" w:eastAsia="宋体" w:cs="宋体"/>
                <w:lang w:val="en-US" w:eastAsia="zh-CN"/>
              </w:rPr>
            </w:pPr>
            <w:r>
              <w:rPr>
                <w:rFonts w:hint="eastAsia" w:ascii="Times New Roman" w:hAnsi="Times New Roman" w:eastAsia="宋体" w:cs="Times New Roman"/>
                <w:lang w:val="en-US" w:eastAsia="zh-CN"/>
              </w:rPr>
              <w:t>10台</w:t>
            </w:r>
          </w:p>
        </w:tc>
        <w:tc>
          <w:tcPr>
            <w:tcW w:w="1167" w:type="pct"/>
            <w:vMerge w:val="continue"/>
            <w:vAlign w:val="center"/>
          </w:tcPr>
          <w:p>
            <w:pPr>
              <w:spacing w:line="360" w:lineRule="exact"/>
              <w:jc w:val="center"/>
              <w:rPr>
                <w:rFonts w:hint="eastAsia" w:ascii="宋体" w:hAnsi="宋体" w:eastAsia="宋体" w:cs="宋体"/>
                <w:lang w:val="en-US" w:eastAsia="zh-CN"/>
              </w:rPr>
            </w:pPr>
          </w:p>
        </w:tc>
      </w:tr>
    </w:tbl>
    <w:p>
      <w:pPr>
        <w:pStyle w:val="14"/>
        <w:jc w:val="both"/>
      </w:pPr>
    </w:p>
    <w:p>
      <w:pPr>
        <w:spacing w:line="360" w:lineRule="exact"/>
        <w:jc w:val="left"/>
        <w:rPr>
          <w:b/>
          <w:bCs/>
        </w:rPr>
      </w:pPr>
      <w:r>
        <w:rPr>
          <w:rFonts w:hint="eastAsia"/>
          <w:b/>
          <w:bCs/>
        </w:rPr>
        <w:t>二、技术要求：</w:t>
      </w:r>
    </w:p>
    <w:p>
      <w:pPr>
        <w:numPr>
          <w:ilvl w:val="0"/>
          <w:numId w:val="1"/>
        </w:numPr>
        <w:spacing w:line="360" w:lineRule="exact"/>
      </w:pPr>
      <w:r>
        <w:rPr>
          <w:rFonts w:hint="eastAsia"/>
          <w:lang w:val="en-US" w:eastAsia="zh-CN"/>
        </w:rPr>
        <w:t>中医封包治疗仪</w:t>
      </w:r>
    </w:p>
    <w:p>
      <w:pPr>
        <w:numPr>
          <w:ilvl w:val="0"/>
          <w:numId w:val="0"/>
        </w:numPr>
        <w:spacing w:line="360" w:lineRule="exact"/>
      </w:pPr>
      <w:r>
        <w:rPr>
          <w:rFonts w:hint="eastAsia"/>
          <w:lang w:val="en-US" w:eastAsia="zh-CN"/>
        </w:rPr>
        <w:t>1.输入电压和频率：AC100—240V 、47—63Hz 。</w:t>
      </w:r>
    </w:p>
    <w:p>
      <w:pPr>
        <w:keepNext w:val="0"/>
        <w:keepLines w:val="0"/>
        <w:widowControl/>
        <w:suppressLineNumbers w:val="0"/>
        <w:jc w:val="left"/>
      </w:pPr>
      <w:r>
        <w:rPr>
          <w:rFonts w:hint="eastAsia"/>
          <w:lang w:val="en-US" w:eastAsia="zh-CN"/>
        </w:rPr>
        <w:t xml:space="preserve">2.输出电压：DC24V（物理隔离）。 </w:t>
      </w:r>
    </w:p>
    <w:p>
      <w:pPr>
        <w:keepNext w:val="0"/>
        <w:keepLines w:val="0"/>
        <w:widowControl/>
        <w:suppressLineNumbers w:val="0"/>
        <w:jc w:val="left"/>
      </w:pPr>
      <w:r>
        <w:rPr>
          <w:rFonts w:hint="eastAsia"/>
          <w:lang w:val="en-US" w:eastAsia="zh-CN"/>
        </w:rPr>
        <w:t>3.额定输入功率：90VA±15%（A 型） 。</w:t>
      </w:r>
    </w:p>
    <w:p>
      <w:pPr>
        <w:keepNext w:val="0"/>
        <w:keepLines w:val="0"/>
        <w:widowControl/>
        <w:suppressLineNumbers w:val="0"/>
        <w:jc w:val="left"/>
      </w:pPr>
      <w:r>
        <w:rPr>
          <w:rFonts w:hint="eastAsia"/>
          <w:lang w:val="en-US" w:eastAsia="zh-CN"/>
        </w:rPr>
        <w:t>4.▲治疗温度：36℃-48℃。</w:t>
      </w:r>
    </w:p>
    <w:p>
      <w:pPr>
        <w:keepNext w:val="0"/>
        <w:keepLines w:val="0"/>
        <w:widowControl/>
        <w:suppressLineNumbers w:val="0"/>
        <w:jc w:val="left"/>
      </w:pPr>
      <w:r>
        <w:rPr>
          <w:rFonts w:hint="eastAsia"/>
          <w:lang w:val="en-US" w:eastAsia="zh-CN"/>
        </w:rPr>
        <w:t>5.远红外线波长：8μm—15μm 。</w:t>
      </w:r>
    </w:p>
    <w:p>
      <w:pPr>
        <w:keepNext w:val="0"/>
        <w:keepLines w:val="0"/>
        <w:widowControl/>
        <w:suppressLineNumbers w:val="0"/>
        <w:jc w:val="left"/>
      </w:pPr>
      <w:r>
        <w:rPr>
          <w:rFonts w:hint="eastAsia"/>
          <w:lang w:val="en-US" w:eastAsia="zh-CN"/>
        </w:rPr>
        <w:t>6.磁场强度：≥800Gs 。</w:t>
      </w:r>
    </w:p>
    <w:p>
      <w:pPr>
        <w:keepNext w:val="0"/>
        <w:keepLines w:val="0"/>
        <w:widowControl/>
        <w:suppressLineNumbers w:val="0"/>
        <w:jc w:val="left"/>
        <w:rPr>
          <w:rFonts w:hint="eastAsia"/>
          <w:lang w:val="en-US" w:eastAsia="zh-CN"/>
        </w:rPr>
      </w:pPr>
      <w:r>
        <w:rPr>
          <w:rFonts w:hint="eastAsia"/>
          <w:lang w:val="en-US" w:eastAsia="zh-CN"/>
        </w:rPr>
        <w:t>7.治疗时间：≥30分钟。</w:t>
      </w:r>
    </w:p>
    <w:p>
      <w:pPr>
        <w:pStyle w:val="2"/>
        <w:numPr>
          <w:ilvl w:val="0"/>
          <w:numId w:val="1"/>
        </w:numPr>
        <w:ind w:left="0" w:leftChars="0" w:firstLine="0" w:firstLineChars="0"/>
        <w:rPr>
          <w:rFonts w:hint="default"/>
          <w:lang w:val="en-US"/>
        </w:rPr>
      </w:pPr>
      <w:r>
        <w:rPr>
          <w:rFonts w:hint="eastAsia"/>
          <w:lang w:val="en-US" w:eastAsia="zh-CN"/>
        </w:rPr>
        <w:t>中医定向透药治疗仪</w:t>
      </w:r>
    </w:p>
    <w:p>
      <w:pPr>
        <w:keepNext w:val="0"/>
        <w:keepLines w:val="0"/>
        <w:widowControl/>
        <w:numPr>
          <w:ilvl w:val="0"/>
          <w:numId w:val="0"/>
        </w:numPr>
        <w:suppressLineNumbers w:val="0"/>
        <w:ind w:leftChars="0"/>
        <w:jc w:val="left"/>
        <w:rPr>
          <w:rFonts w:hint="eastAsia"/>
          <w:lang w:val="en-US" w:eastAsia="zh-CN"/>
        </w:rPr>
      </w:pPr>
      <w:r>
        <w:rPr>
          <w:rFonts w:hint="eastAsia"/>
          <w:lang w:val="en-US" w:eastAsia="zh-CN"/>
        </w:rPr>
        <w:t>1.热疗温度：25℃-53℃。</w:t>
      </w:r>
    </w:p>
    <w:p>
      <w:pPr>
        <w:keepNext w:val="0"/>
        <w:keepLines w:val="0"/>
        <w:widowControl/>
        <w:numPr>
          <w:ilvl w:val="0"/>
          <w:numId w:val="0"/>
        </w:numPr>
        <w:suppressLineNumbers w:val="0"/>
        <w:ind w:leftChars="0"/>
        <w:jc w:val="left"/>
        <w:rPr>
          <w:rFonts w:hint="default"/>
          <w:lang w:val="en-US" w:eastAsia="zh-CN"/>
        </w:rPr>
      </w:pPr>
      <w:r>
        <w:rPr>
          <w:rFonts w:hint="eastAsia"/>
          <w:lang w:val="en-US" w:eastAsia="zh-CN"/>
        </w:rPr>
        <w:t>2.具有定时功能:，定时设定范围1-60分钟。</w:t>
      </w:r>
    </w:p>
    <w:p>
      <w:pPr>
        <w:keepNext w:val="0"/>
        <w:keepLines w:val="0"/>
        <w:widowControl/>
        <w:numPr>
          <w:ilvl w:val="0"/>
          <w:numId w:val="0"/>
        </w:numPr>
        <w:suppressLineNumbers w:val="0"/>
        <w:ind w:leftChars="0"/>
        <w:jc w:val="left"/>
        <w:rPr>
          <w:rFonts w:hint="default"/>
          <w:lang w:val="en-US" w:eastAsia="zh-CN"/>
        </w:rPr>
      </w:pPr>
      <w:r>
        <w:rPr>
          <w:rFonts w:hint="eastAsia"/>
          <w:lang w:val="en-US" w:eastAsia="zh-CN"/>
        </w:rPr>
        <w:t>3.</w:t>
      </w:r>
      <w:r>
        <w:rPr>
          <w:rFonts w:hint="default"/>
          <w:lang w:val="en-US" w:eastAsia="zh-CN"/>
        </w:rPr>
        <w:t>处方功能</w:t>
      </w:r>
      <w:r>
        <w:rPr>
          <w:rFonts w:hint="eastAsia"/>
          <w:lang w:val="en-US" w:eastAsia="zh-CN"/>
        </w:rPr>
        <w:t>≥3种。</w:t>
      </w:r>
    </w:p>
    <w:p>
      <w:pPr>
        <w:keepNext w:val="0"/>
        <w:keepLines w:val="0"/>
        <w:widowControl/>
        <w:numPr>
          <w:ilvl w:val="0"/>
          <w:numId w:val="0"/>
        </w:numPr>
        <w:suppressLineNumbers w:val="0"/>
        <w:ind w:leftChars="0"/>
        <w:jc w:val="left"/>
        <w:rPr>
          <w:rFonts w:hint="eastAsia"/>
          <w:lang w:val="en-US" w:eastAsia="zh-CN"/>
        </w:rPr>
      </w:pPr>
      <w:r>
        <w:rPr>
          <w:rFonts w:hint="eastAsia"/>
          <w:lang w:val="en-US" w:eastAsia="zh-CN"/>
        </w:rPr>
        <w:t>4.▲具有</w:t>
      </w:r>
      <w:r>
        <w:rPr>
          <w:rFonts w:hint="default"/>
          <w:lang w:val="en-US" w:eastAsia="zh-CN"/>
        </w:rPr>
        <w:t>中频物理康复和药物离子靶向导入治疗</w:t>
      </w:r>
      <w:r>
        <w:rPr>
          <w:rFonts w:hint="eastAsia"/>
          <w:lang w:val="en-US" w:eastAsia="zh-CN"/>
        </w:rPr>
        <w:t>功能。</w:t>
      </w:r>
    </w:p>
    <w:p>
      <w:pPr>
        <w:keepNext w:val="0"/>
        <w:keepLines w:val="0"/>
        <w:widowControl/>
        <w:numPr>
          <w:ilvl w:val="0"/>
          <w:numId w:val="0"/>
        </w:numPr>
        <w:suppressLineNumbers w:val="0"/>
        <w:ind w:leftChars="0"/>
        <w:jc w:val="left"/>
        <w:rPr>
          <w:rFonts w:hint="default"/>
          <w:lang w:val="en-US" w:eastAsia="zh-CN"/>
        </w:rPr>
      </w:pPr>
      <w:r>
        <w:rPr>
          <w:rFonts w:hint="eastAsia"/>
          <w:lang w:val="en-US" w:eastAsia="zh-CN"/>
        </w:rPr>
        <w:t>5.</w:t>
      </w:r>
      <w:r>
        <w:rPr>
          <w:rFonts w:hint="default"/>
          <w:lang w:val="en-US" w:eastAsia="zh-CN"/>
        </w:rPr>
        <w:t>安全类别:I类BF型康复理疗设备。</w:t>
      </w:r>
    </w:p>
    <w:p>
      <w:pPr>
        <w:pStyle w:val="2"/>
        <w:rPr>
          <w:rFonts w:hint="default" w:ascii="Times New Roman" w:hAnsi="Times New Roman" w:eastAsia="宋体" w:cs="Times New Roman"/>
          <w:szCs w:val="21"/>
          <w:lang w:val="en-US" w:eastAsia="zh-CN"/>
        </w:rPr>
      </w:pPr>
      <w:r>
        <w:rPr>
          <w:rFonts w:hint="eastAsia"/>
          <w:lang w:val="en-US" w:eastAsia="zh-CN"/>
        </w:rPr>
        <w:t>6.★设备注册证名称包含但不</w:t>
      </w:r>
      <w:r>
        <w:rPr>
          <w:rFonts w:hint="default" w:ascii="Times New Roman" w:hAnsi="Times New Roman" w:eastAsia="宋体" w:cs="Times New Roman"/>
          <w:szCs w:val="21"/>
          <w:lang w:val="en-US" w:eastAsia="zh-CN"/>
        </w:rPr>
        <w:t>限于</w:t>
      </w:r>
      <w:r>
        <w:rPr>
          <w:rFonts w:hint="default" w:ascii="Times New Roman" w:hAnsi="Times New Roman" w:eastAsia="宋体" w:cs="Times New Roman"/>
          <w:szCs w:val="21"/>
          <w:highlight w:val="none"/>
          <w:lang w:val="en-US" w:eastAsia="zh-CN"/>
        </w:rPr>
        <w:t>定向透药治疗。</w:t>
      </w:r>
    </w:p>
    <w:p>
      <w:pPr>
        <w:pStyle w:val="10"/>
        <w:numPr>
          <w:ilvl w:val="0"/>
          <w:numId w:val="1"/>
        </w:numPr>
        <w:ind w:left="0" w:leftChars="0" w:firstLine="0" w:firstLineChars="0"/>
        <w:rPr>
          <w:rFonts w:hint="eastAsia"/>
          <w:lang w:val="en-US" w:eastAsia="zh-CN"/>
        </w:rPr>
      </w:pPr>
      <w:r>
        <w:rPr>
          <w:rFonts w:hint="eastAsia"/>
          <w:lang w:val="en-US" w:eastAsia="zh-CN"/>
        </w:rPr>
        <w:t>中医熏蒸治疗仪</w:t>
      </w:r>
    </w:p>
    <w:p>
      <w:pPr>
        <w:keepNext w:val="0"/>
        <w:keepLines w:val="0"/>
        <w:widowControl/>
        <w:numPr>
          <w:ilvl w:val="0"/>
          <w:numId w:val="0"/>
        </w:numPr>
        <w:suppressLineNumbers w:val="0"/>
        <w:ind w:leftChars="0"/>
        <w:jc w:val="left"/>
        <w:rPr>
          <w:rFonts w:hint="eastAsia"/>
          <w:lang w:val="en-US" w:eastAsia="zh-CN"/>
        </w:rPr>
      </w:pPr>
      <w:r>
        <w:rPr>
          <w:rFonts w:hint="eastAsia"/>
          <w:lang w:val="en-US" w:eastAsia="zh-CN"/>
        </w:rPr>
        <w:t>1.▲通道数:双通道，喷头≥2个，微电脑独立控制。</w:t>
      </w:r>
    </w:p>
    <w:p>
      <w:pPr>
        <w:keepNext w:val="0"/>
        <w:keepLines w:val="0"/>
        <w:widowControl/>
        <w:numPr>
          <w:ilvl w:val="0"/>
          <w:numId w:val="0"/>
        </w:numPr>
        <w:suppressLineNumbers w:val="0"/>
        <w:ind w:leftChars="0"/>
        <w:jc w:val="left"/>
        <w:rPr>
          <w:rFonts w:hint="eastAsia"/>
          <w:lang w:val="en-US" w:eastAsia="zh-CN"/>
        </w:rPr>
      </w:pPr>
      <w:r>
        <w:rPr>
          <w:rFonts w:hint="eastAsia"/>
          <w:lang w:val="en-US" w:eastAsia="zh-CN"/>
        </w:rPr>
        <w:t>2.▲保温及治疗功率可调节，档位≥3种。</w:t>
      </w:r>
    </w:p>
    <w:p>
      <w:pPr>
        <w:keepNext w:val="0"/>
        <w:keepLines w:val="0"/>
        <w:widowControl/>
        <w:numPr>
          <w:ilvl w:val="0"/>
          <w:numId w:val="0"/>
        </w:numPr>
        <w:suppressLineNumbers w:val="0"/>
        <w:ind w:leftChars="0"/>
        <w:jc w:val="left"/>
        <w:rPr>
          <w:rFonts w:hint="eastAsia"/>
          <w:lang w:val="en-US" w:eastAsia="zh-CN"/>
        </w:rPr>
      </w:pPr>
      <w:r>
        <w:rPr>
          <w:rFonts w:hint="eastAsia"/>
          <w:lang w:val="en-US" w:eastAsia="zh-CN"/>
        </w:rPr>
        <w:t>3.药液从常温加热到95℃时间≤15 分钟。</w:t>
      </w:r>
    </w:p>
    <w:p>
      <w:pPr>
        <w:keepNext w:val="0"/>
        <w:keepLines w:val="0"/>
        <w:widowControl/>
        <w:numPr>
          <w:ilvl w:val="0"/>
          <w:numId w:val="0"/>
        </w:numPr>
        <w:suppressLineNumbers w:val="0"/>
        <w:ind w:leftChars="0"/>
        <w:jc w:val="left"/>
        <w:rPr>
          <w:rFonts w:hint="eastAsia"/>
          <w:lang w:val="en-US" w:eastAsia="zh-CN"/>
        </w:rPr>
      </w:pPr>
      <w:r>
        <w:rPr>
          <w:rFonts w:hint="eastAsia"/>
          <w:lang w:val="en-US" w:eastAsia="zh-CN"/>
        </w:rPr>
        <w:t>4.治疗时间1-60分钟可调。</w:t>
      </w:r>
    </w:p>
    <w:p>
      <w:pPr>
        <w:keepNext w:val="0"/>
        <w:keepLines w:val="0"/>
        <w:widowControl/>
        <w:numPr>
          <w:ilvl w:val="0"/>
          <w:numId w:val="0"/>
        </w:numPr>
        <w:suppressLineNumbers w:val="0"/>
        <w:ind w:leftChars="0"/>
        <w:jc w:val="left"/>
        <w:rPr>
          <w:rFonts w:hint="eastAsia"/>
          <w:lang w:val="en-US" w:eastAsia="zh-CN"/>
        </w:rPr>
      </w:pPr>
      <w:r>
        <w:rPr>
          <w:rFonts w:hint="eastAsia"/>
          <w:lang w:val="en-US" w:eastAsia="zh-CN"/>
        </w:rPr>
        <w:t>5.具有低液位报警及温度保护开关功能。</w:t>
      </w:r>
    </w:p>
    <w:p>
      <w:pPr>
        <w:keepNext w:val="0"/>
        <w:keepLines w:val="0"/>
        <w:widowControl/>
        <w:numPr>
          <w:ilvl w:val="0"/>
          <w:numId w:val="0"/>
        </w:numPr>
        <w:suppressLineNumbers w:val="0"/>
        <w:ind w:leftChars="0"/>
        <w:jc w:val="left"/>
        <w:rPr>
          <w:rFonts w:hint="eastAsia"/>
          <w:lang w:val="en-US" w:eastAsia="zh-CN"/>
        </w:rPr>
      </w:pPr>
      <w:r>
        <w:rPr>
          <w:rFonts w:hint="eastAsia"/>
          <w:lang w:val="en-US" w:eastAsia="zh-CN"/>
        </w:rPr>
        <w:t>6.▲设备具有保温功能，保温温度70-90℃可调。</w:t>
      </w:r>
    </w:p>
    <w:p>
      <w:pPr>
        <w:keepNext w:val="0"/>
        <w:keepLines w:val="0"/>
        <w:widowControl/>
        <w:numPr>
          <w:ilvl w:val="0"/>
          <w:numId w:val="0"/>
        </w:numPr>
        <w:suppressLineNumbers w:val="0"/>
        <w:ind w:leftChars="0"/>
        <w:jc w:val="left"/>
        <w:rPr>
          <w:rFonts w:hint="eastAsia"/>
          <w:lang w:val="en-US" w:eastAsia="zh-CN"/>
        </w:rPr>
      </w:pPr>
      <w:r>
        <w:rPr>
          <w:rFonts w:hint="eastAsia"/>
          <w:lang w:val="en-US" w:eastAsia="zh-CN"/>
        </w:rPr>
        <w:t>7.有减压阀排气减压。</w:t>
      </w:r>
    </w:p>
    <w:p>
      <w:pPr>
        <w:keepNext w:val="0"/>
        <w:keepLines w:val="0"/>
        <w:widowControl/>
        <w:numPr>
          <w:ilvl w:val="0"/>
          <w:numId w:val="0"/>
        </w:numPr>
        <w:suppressLineNumbers w:val="0"/>
        <w:ind w:leftChars="0"/>
        <w:jc w:val="left"/>
        <w:rPr>
          <w:rFonts w:hint="eastAsia"/>
          <w:lang w:val="en-US" w:eastAsia="zh-CN"/>
        </w:rPr>
      </w:pPr>
      <w:r>
        <w:rPr>
          <w:rFonts w:hint="eastAsia"/>
          <w:lang w:val="en-US" w:eastAsia="zh-CN"/>
        </w:rPr>
        <w:t>8.喷杆关节四轴旋转可调，喷头动作角度万向，满足临床患者坐姿卧姿不同体位的熏蒸需求。</w:t>
      </w:r>
    </w:p>
    <w:p>
      <w:pPr>
        <w:keepNext w:val="0"/>
        <w:keepLines w:val="0"/>
        <w:widowControl/>
        <w:numPr>
          <w:ilvl w:val="0"/>
          <w:numId w:val="0"/>
        </w:numPr>
        <w:suppressLineNumbers w:val="0"/>
        <w:ind w:leftChars="0"/>
        <w:jc w:val="left"/>
        <w:rPr>
          <w:rFonts w:hint="eastAsia"/>
          <w:lang w:val="en-US" w:eastAsia="zh-CN"/>
        </w:rPr>
      </w:pPr>
      <w:r>
        <w:rPr>
          <w:rFonts w:hint="eastAsia"/>
          <w:lang w:val="en-US" w:eastAsia="zh-CN"/>
        </w:rPr>
        <w:t>9.额定装药容量:≥5L。</w:t>
      </w:r>
    </w:p>
    <w:p>
      <w:pPr>
        <w:keepNext w:val="0"/>
        <w:keepLines w:val="0"/>
        <w:widowControl/>
        <w:numPr>
          <w:ilvl w:val="0"/>
          <w:numId w:val="0"/>
        </w:numPr>
        <w:suppressLineNumbers w:val="0"/>
        <w:ind w:leftChars="0"/>
        <w:jc w:val="left"/>
        <w:rPr>
          <w:rFonts w:hint="eastAsia"/>
          <w:lang w:val="en-US" w:eastAsia="zh-CN"/>
        </w:rPr>
      </w:pPr>
      <w:r>
        <w:rPr>
          <w:rFonts w:hint="eastAsia"/>
          <w:lang w:val="en-US" w:eastAsia="zh-CN"/>
        </w:rPr>
        <w:t>10.具有智能倒计时功能。</w:t>
      </w:r>
    </w:p>
    <w:p>
      <w:pPr>
        <w:keepNext w:val="0"/>
        <w:keepLines w:val="0"/>
        <w:widowControl/>
        <w:numPr>
          <w:ilvl w:val="0"/>
          <w:numId w:val="0"/>
        </w:numPr>
        <w:suppressLineNumbers w:val="0"/>
        <w:ind w:leftChars="0"/>
        <w:jc w:val="left"/>
        <w:rPr>
          <w:rFonts w:hint="eastAsia"/>
          <w:lang w:val="en-US" w:eastAsia="zh-CN"/>
        </w:rPr>
      </w:pPr>
      <w:r>
        <w:rPr>
          <w:rFonts w:hint="eastAsia"/>
          <w:lang w:val="en-US" w:eastAsia="zh-CN"/>
        </w:rPr>
        <w:t>11.机箱容器部分和电路显示部分采用分体设计，便于保养和维修,并做到完全隔离。</w:t>
      </w:r>
    </w:p>
    <w:p>
      <w:pPr>
        <w:keepNext w:val="0"/>
        <w:keepLines w:val="0"/>
        <w:widowControl/>
        <w:numPr>
          <w:ilvl w:val="0"/>
          <w:numId w:val="0"/>
        </w:numPr>
        <w:suppressLineNumbers w:val="0"/>
        <w:ind w:leftChars="0"/>
        <w:jc w:val="left"/>
        <w:rPr>
          <w:rFonts w:hint="eastAsia"/>
          <w:lang w:val="en-US" w:eastAsia="zh-CN"/>
        </w:rPr>
      </w:pPr>
      <w:r>
        <w:rPr>
          <w:rFonts w:hint="eastAsia"/>
          <w:lang w:val="en-US" w:eastAsia="zh-CN"/>
        </w:rPr>
        <w:t>12.排液管路排液方便快捷不阻塞。</w:t>
      </w:r>
    </w:p>
    <w:p>
      <w:pPr>
        <w:pStyle w:val="10"/>
        <w:numPr>
          <w:ilvl w:val="0"/>
          <w:numId w:val="1"/>
        </w:numPr>
        <w:ind w:left="0" w:leftChars="0" w:firstLine="0" w:firstLineChars="0"/>
        <w:rPr>
          <w:rFonts w:hint="default"/>
          <w:lang w:val="en-US" w:eastAsia="zh-CN"/>
        </w:rPr>
      </w:pPr>
      <w:r>
        <w:rPr>
          <w:rFonts w:hint="eastAsia"/>
          <w:lang w:val="en-US" w:eastAsia="zh-CN"/>
        </w:rPr>
        <w:t>浮针进针器</w:t>
      </w:r>
    </w:p>
    <w:p>
      <w:pPr>
        <w:pStyle w:val="10"/>
        <w:numPr>
          <w:ilvl w:val="0"/>
          <w:numId w:val="0"/>
        </w:numPr>
        <w:ind w:leftChars="0"/>
        <w:rPr>
          <w:rFonts w:hint="default"/>
          <w:lang w:val="en-US" w:eastAsia="zh-CN"/>
        </w:rPr>
      </w:pPr>
      <w:r>
        <w:rPr>
          <w:rFonts w:hint="eastAsia"/>
          <w:lang w:val="en-US" w:eastAsia="zh-CN"/>
        </w:rPr>
        <w:t>1.▲</w:t>
      </w:r>
      <w:r>
        <w:rPr>
          <w:rFonts w:hint="default"/>
          <w:lang w:val="en-US" w:eastAsia="zh-CN"/>
        </w:rPr>
        <w:t>结构及组成</w:t>
      </w:r>
      <w:r>
        <w:rPr>
          <w:rFonts w:hint="eastAsia"/>
          <w:lang w:val="en-US" w:eastAsia="zh-CN"/>
        </w:rPr>
        <w:t>：</w:t>
      </w:r>
      <w:r>
        <w:rPr>
          <w:rFonts w:hint="default"/>
          <w:lang w:val="en-US" w:eastAsia="zh-CN"/>
        </w:rPr>
        <w:t>浮针进针器山底座、控制按钮、按钮弹簧、纵向弹簧、传动杆、固定槽</w:t>
      </w:r>
      <w:r>
        <w:rPr>
          <w:rFonts w:hint="eastAsia"/>
          <w:lang w:val="en-US" w:eastAsia="zh-CN"/>
        </w:rPr>
        <w:t>等组成。</w:t>
      </w:r>
    </w:p>
    <w:p>
      <w:pPr>
        <w:pStyle w:val="10"/>
        <w:numPr>
          <w:ilvl w:val="0"/>
          <w:numId w:val="0"/>
        </w:numPr>
        <w:ind w:leftChars="0"/>
        <w:rPr>
          <w:rFonts w:hint="default"/>
          <w:lang w:val="en-US" w:eastAsia="zh-CN"/>
        </w:rPr>
      </w:pPr>
      <w:r>
        <w:rPr>
          <w:rFonts w:hint="eastAsia"/>
          <w:lang w:val="en-US" w:eastAsia="zh-CN"/>
        </w:rPr>
        <w:t>2.</w:t>
      </w:r>
      <w:r>
        <w:rPr>
          <w:rFonts w:hint="default"/>
          <w:lang w:val="en-US" w:eastAsia="zh-CN"/>
        </w:rPr>
        <w:t>适用范围</w:t>
      </w:r>
      <w:r>
        <w:rPr>
          <w:rFonts w:hint="eastAsia"/>
          <w:lang w:val="en-US" w:eastAsia="zh-CN"/>
        </w:rPr>
        <w:t>：可与</w:t>
      </w:r>
      <w:r>
        <w:rPr>
          <w:rFonts w:hint="default"/>
          <w:lang w:val="en-US" w:eastAsia="zh-CN"/>
        </w:rPr>
        <w:t>一次性使用浮针</w:t>
      </w:r>
      <w:r>
        <w:rPr>
          <w:rFonts w:hint="eastAsia"/>
          <w:lang w:val="en-US" w:eastAsia="zh-CN"/>
        </w:rPr>
        <w:t>配套</w:t>
      </w:r>
      <w:r>
        <w:rPr>
          <w:rFonts w:hint="default"/>
          <w:lang w:val="en-US" w:eastAsia="zh-CN"/>
        </w:rPr>
        <w:t>使用，辅助浮针针尖快速准确刺入病人皮下的弹射工具</w:t>
      </w:r>
      <w:r>
        <w:rPr>
          <w:rFonts w:hint="eastAsia"/>
          <w:lang w:val="en-US" w:eastAsia="zh-CN"/>
        </w:rPr>
        <w:t>。</w:t>
      </w:r>
    </w:p>
    <w:p>
      <w:pPr>
        <w:pStyle w:val="10"/>
        <w:numPr>
          <w:ilvl w:val="0"/>
          <w:numId w:val="0"/>
        </w:numPr>
        <w:ind w:leftChars="0"/>
        <w:rPr>
          <w:rFonts w:hint="default"/>
          <w:lang w:val="en-US" w:eastAsia="zh-CN"/>
        </w:rPr>
      </w:pPr>
      <w:r>
        <w:rPr>
          <w:rFonts w:hint="eastAsia"/>
          <w:lang w:val="en-US" w:eastAsia="zh-CN"/>
        </w:rPr>
        <w:t>五、废液引流置物架</w:t>
      </w:r>
    </w:p>
    <w:p>
      <w:pPr>
        <w:numPr>
          <w:ilvl w:val="0"/>
          <w:numId w:val="0"/>
        </w:numPr>
        <w:spacing w:line="360" w:lineRule="exact"/>
        <w:ind w:leftChars="0"/>
        <w:jc w:val="left"/>
        <w:rPr>
          <w:rFonts w:hint="eastAsia"/>
          <w:lang w:val="en-US" w:eastAsia="zh-CN"/>
        </w:rPr>
      </w:pPr>
      <w:r>
        <w:rPr>
          <w:rFonts w:hint="eastAsia"/>
          <w:lang w:val="en-US" w:eastAsia="zh-CN"/>
        </w:rPr>
        <w:t>1.采用不锈钢制成。容量≥2000ml,型号至少包含双通等。</w:t>
      </w:r>
    </w:p>
    <w:p>
      <w:pPr>
        <w:numPr>
          <w:ilvl w:val="0"/>
          <w:numId w:val="0"/>
        </w:numPr>
        <w:spacing w:line="360" w:lineRule="exact"/>
        <w:ind w:leftChars="0"/>
        <w:jc w:val="left"/>
        <w:rPr>
          <w:rFonts w:hint="eastAsia"/>
          <w:lang w:val="en-US" w:eastAsia="zh-CN"/>
        </w:rPr>
      </w:pPr>
    </w:p>
    <w:p>
      <w:pPr>
        <w:numPr>
          <w:ilvl w:val="0"/>
          <w:numId w:val="0"/>
        </w:numPr>
        <w:spacing w:line="360" w:lineRule="exact"/>
        <w:ind w:leftChars="0"/>
        <w:jc w:val="left"/>
        <w:rPr>
          <w:rFonts w:ascii="仿宋" w:hAnsi="仿宋" w:eastAsia="仿宋" w:cs="Segoe UI"/>
          <w:b/>
          <w:bCs/>
          <w:color w:val="333333"/>
          <w:spacing w:val="8"/>
          <w:kern w:val="0"/>
          <w:sz w:val="28"/>
          <w:szCs w:val="28"/>
        </w:rPr>
      </w:pPr>
      <w:r>
        <w:rPr>
          <w:rFonts w:hint="eastAsia"/>
          <w:b/>
          <w:bCs/>
        </w:rPr>
        <w:t>说明：标注“★”的条款为本项目的实质性条款，投标人不满足的，将按照无效投标处理</w:t>
      </w:r>
      <w:r>
        <w:rPr>
          <w:rFonts w:hint="eastAsia" w:ascii="仿宋" w:hAnsi="仿宋" w:eastAsia="仿宋" w:cs="Segoe UI"/>
          <w:b/>
          <w:bCs/>
          <w:color w:val="333333"/>
          <w:spacing w:val="8"/>
          <w:kern w:val="0"/>
          <w:sz w:val="28"/>
          <w:szCs w:val="28"/>
        </w:rPr>
        <w:t>。</w:t>
      </w:r>
    </w:p>
    <w:p>
      <w:pPr>
        <w:numPr>
          <w:ilvl w:val="0"/>
          <w:numId w:val="0"/>
        </w:numPr>
        <w:spacing w:line="360" w:lineRule="exact"/>
        <w:ind w:leftChars="0"/>
        <w:jc w:val="left"/>
        <w:rPr>
          <w:rFonts w:hint="eastAsia" w:ascii="宋体" w:hAnsi="宋体" w:eastAsia="宋体" w:cs="Times New Roman"/>
          <w:b/>
          <w:bCs/>
          <w:highlight w:val="none"/>
          <w:lang w:eastAsia="zh-CN"/>
        </w:rPr>
      </w:pPr>
      <w:r>
        <w:rPr>
          <w:rFonts w:hint="eastAsia"/>
          <w:b/>
          <w:bCs/>
        </w:rPr>
        <w:t>本章中</w:t>
      </w:r>
      <w:r>
        <w:rPr>
          <w:rFonts w:hint="eastAsia" w:ascii="宋体" w:hAnsi="宋体" w:eastAsia="宋体" w:cs="宋体"/>
          <w:b/>
          <w:bCs/>
          <w:color w:val="000000"/>
          <w:kern w:val="0"/>
          <w:lang w:val="en-US" w:eastAsia="zh-CN"/>
        </w:rPr>
        <w:t>▲</w:t>
      </w:r>
      <w:r>
        <w:rPr>
          <w:rFonts w:hint="eastAsia" w:hAnsi="宋体" w:eastAsia="宋体" w:cs="宋体"/>
          <w:b/>
          <w:bCs/>
          <w:color w:val="000000"/>
          <w:kern w:val="0"/>
          <w:lang w:val="en-US" w:eastAsia="zh-CN"/>
        </w:rPr>
        <w:t>条款为重要技术条款，</w:t>
      </w:r>
      <w:r>
        <w:rPr>
          <w:rFonts w:hint="eastAsia" w:ascii="宋体" w:hAnsi="宋体" w:eastAsia="宋体" w:cs="宋体"/>
          <w:b/>
          <w:bCs/>
          <w:sz w:val="21"/>
          <w:szCs w:val="21"/>
          <w:highlight w:val="none"/>
          <w:lang w:val="en-US" w:eastAsia="zh-CN"/>
        </w:rPr>
        <w:t>需要逐条提供</w:t>
      </w:r>
      <w:r>
        <w:rPr>
          <w:rFonts w:hint="eastAsia" w:ascii="宋体" w:hAnsi="宋体" w:eastAsia="宋体" w:cs="宋体"/>
          <w:b/>
          <w:bCs/>
          <w:sz w:val="21"/>
          <w:szCs w:val="21"/>
          <w:lang w:val="en-US" w:eastAsia="zh-CN"/>
        </w:rPr>
        <w:t>佐证材料</w:t>
      </w:r>
      <w:r>
        <w:rPr>
          <w:rFonts w:hint="eastAsia" w:ascii="宋体" w:hAnsi="宋体" w:cs="宋体"/>
          <w:b/>
          <w:bCs/>
          <w:sz w:val="21"/>
          <w:szCs w:val="21"/>
          <w:lang w:val="en-US" w:eastAsia="zh-CN"/>
        </w:rPr>
        <w:t>，并在招标文件中标注页码；</w:t>
      </w:r>
      <w:r>
        <w:rPr>
          <w:rFonts w:hint="eastAsia" w:ascii="宋体" w:hAnsi="宋体" w:eastAsia="宋体" w:cs="宋体"/>
          <w:b/>
          <w:bCs/>
          <w:sz w:val="21"/>
          <w:szCs w:val="21"/>
          <w:lang w:val="en-US" w:eastAsia="zh-CN"/>
        </w:rPr>
        <w:t>佐证材料为投标产品说明书或公开发行的彩页或国家认可的第三方检测机构出具的检测报告，</w:t>
      </w:r>
      <w:r>
        <w:rPr>
          <w:rFonts w:hint="eastAsia" w:ascii="宋体" w:hAnsi="宋体" w:cs="宋体"/>
          <w:b/>
          <w:bCs/>
        </w:rPr>
        <w:t>并加盖投标人公章</w:t>
      </w:r>
      <w:r>
        <w:rPr>
          <w:rFonts w:hint="eastAsia" w:ascii="宋体" w:hAnsi="宋体" w:eastAsia="宋体" w:cs="宋体"/>
          <w:b/>
          <w:bCs/>
          <w:sz w:val="21"/>
          <w:szCs w:val="21"/>
          <w:lang w:val="en-US" w:eastAsia="zh-CN"/>
        </w:rPr>
        <w:t>。</w:t>
      </w:r>
    </w:p>
    <w:p>
      <w:pPr>
        <w:numPr>
          <w:ilvl w:val="0"/>
          <w:numId w:val="0"/>
        </w:numPr>
        <w:spacing w:line="360" w:lineRule="exact"/>
        <w:ind w:leftChars="0"/>
        <w:jc w:val="left"/>
        <w:rPr>
          <w:b/>
          <w:bCs/>
        </w:rPr>
      </w:pPr>
      <w:r>
        <w:rPr>
          <w:rFonts w:hint="eastAsia"/>
          <w:b/>
          <w:bCs/>
        </w:rPr>
        <w:t>三、商务要求：</w:t>
      </w:r>
    </w:p>
    <w:p>
      <w:pPr>
        <w:spacing w:line="360" w:lineRule="exact"/>
        <w:rPr>
          <w:rFonts w:hint="default" w:ascii="宋体" w:hAnsi="宋体" w:eastAsia="宋体" w:cs="宋体"/>
          <w:color w:val="000000"/>
          <w:kern w:val="0"/>
          <w:lang w:val="en-US" w:eastAsia="zh-CN"/>
        </w:rPr>
      </w:pPr>
      <w:r>
        <w:rPr>
          <w:rFonts w:hint="eastAsia" w:ascii="宋体" w:hAnsi="宋体" w:cs="宋体"/>
          <w:color w:val="000000"/>
          <w:kern w:val="0"/>
        </w:rPr>
        <w:t>1.合同履</w:t>
      </w:r>
      <w:r>
        <w:rPr>
          <w:rFonts w:hint="eastAsia" w:ascii="宋体" w:hAnsi="宋体" w:cs="宋体"/>
          <w:color w:val="000000"/>
          <w:kern w:val="0"/>
          <w:lang w:val="en-US" w:eastAsia="zh-CN"/>
        </w:rPr>
        <w:t>约期限和地点</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cs="宋体"/>
          <w:color w:val="000000"/>
          <w:kern w:val="0"/>
        </w:rPr>
        <w:t>1.1 合同履</w:t>
      </w:r>
      <w:r>
        <w:rPr>
          <w:rFonts w:hint="eastAsia" w:ascii="宋体" w:hAnsi="宋体" w:cs="宋体"/>
          <w:color w:val="000000"/>
          <w:kern w:val="0"/>
          <w:lang w:val="en-US" w:eastAsia="zh-CN"/>
        </w:rPr>
        <w:t>约</w:t>
      </w:r>
      <w:r>
        <w:rPr>
          <w:rFonts w:hint="eastAsia" w:ascii="宋体" w:hAnsi="宋体" w:cs="宋体"/>
          <w:color w:val="000000"/>
          <w:kern w:val="0"/>
        </w:rPr>
        <w:t>期限：</w:t>
      </w:r>
      <w:r>
        <w:rPr>
          <w:rFonts w:hint="eastAsia" w:ascii="宋体" w:hAnsi="宋体" w:eastAsia="宋体" w:cs="宋体"/>
          <w:color w:val="000000"/>
          <w:kern w:val="0"/>
          <w:lang w:val="en-US" w:eastAsia="zh-CN"/>
        </w:rPr>
        <w:t>合同签订生效后，收到采购人通知后30日内完成安装调试并交付采购人验收至质保期结束。</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1.2 合同履约地点：四川省妇幼保健院。</w:t>
      </w:r>
    </w:p>
    <w:p>
      <w:pPr>
        <w:spacing w:line="360" w:lineRule="exact"/>
        <w:rPr>
          <w:rFonts w:hint="eastAsia" w:ascii="宋体" w:hAnsi="宋体" w:eastAsia="宋体" w:cs="宋体"/>
          <w:color w:val="000000"/>
          <w:kern w:val="0"/>
        </w:rPr>
      </w:pPr>
      <w:r>
        <w:rPr>
          <w:rFonts w:hint="eastAsia" w:ascii="宋体" w:hAnsi="宋体" w:cs="宋体"/>
          <w:color w:val="000000"/>
          <w:kern w:val="0"/>
        </w:rPr>
        <w:t>2.付款方法和条件：</w:t>
      </w:r>
      <w:r>
        <w:rPr>
          <w:rFonts w:hint="eastAsia" w:ascii="宋体" w:hAnsi="宋体" w:eastAsia="宋体" w:cs="宋体"/>
          <w:color w:val="000000"/>
          <w:kern w:val="0"/>
        </w:rPr>
        <w:t>甲方验收合格后5日内，乙方须向甲方出具合法有效完整的完税发票及凭证资料，甲方自收到上述发票及凭证资料后</w:t>
      </w:r>
      <w:r>
        <w:rPr>
          <w:rFonts w:hint="eastAsia" w:ascii="宋体" w:hAnsi="宋体" w:eastAsia="宋体" w:cs="宋体"/>
          <w:color w:val="000000"/>
          <w:kern w:val="0"/>
          <w:lang w:val="en-US" w:eastAsia="zh-CN"/>
        </w:rPr>
        <w:t>60</w:t>
      </w:r>
      <w:r>
        <w:rPr>
          <w:rFonts w:hint="eastAsia" w:ascii="宋体" w:hAnsi="宋体" w:eastAsia="宋体" w:cs="宋体"/>
          <w:color w:val="000000"/>
          <w:kern w:val="0"/>
        </w:rPr>
        <w:t xml:space="preserve"> 日内支付合同总价 100%的货款给乙方。  </w:t>
      </w:r>
    </w:p>
    <w:p>
      <w:pPr>
        <w:spacing w:line="360" w:lineRule="exact"/>
        <w:rPr>
          <w:rFonts w:hint="eastAsia" w:ascii="宋体" w:hAnsi="宋体" w:eastAsia="宋体" w:cs="宋体"/>
          <w:color w:val="000000"/>
          <w:kern w:val="0"/>
        </w:rPr>
      </w:pPr>
      <w:r>
        <w:rPr>
          <w:rFonts w:hint="eastAsia" w:ascii="宋体" w:hAnsi="宋体" w:eastAsia="宋体" w:cs="宋体"/>
          <w:color w:val="000000"/>
          <w:kern w:val="0"/>
        </w:rPr>
        <w:t>3.安装调试及验收：</w:t>
      </w:r>
    </w:p>
    <w:p>
      <w:pPr>
        <w:spacing w:line="360" w:lineRule="exact"/>
        <w:rPr>
          <w:rFonts w:hint="eastAsia" w:ascii="宋体" w:hAnsi="宋体" w:cs="宋体"/>
          <w:color w:val="000000"/>
          <w:kern w:val="0"/>
        </w:rPr>
      </w:pPr>
      <w:r>
        <w:rPr>
          <w:rFonts w:hint="eastAsia" w:ascii="宋体" w:hAnsi="宋体" w:cs="宋体"/>
          <w:color w:val="000000"/>
          <w:kern w:val="0"/>
        </w:rPr>
        <w:t>3.1中标人负责货物安装、调试。</w:t>
      </w:r>
    </w:p>
    <w:p>
      <w:pPr>
        <w:spacing w:line="360" w:lineRule="exact"/>
        <w:rPr>
          <w:rFonts w:hint="eastAsia" w:ascii="宋体" w:hAnsi="宋体" w:cs="宋体"/>
          <w:color w:val="000000"/>
          <w:kern w:val="0"/>
        </w:rPr>
      </w:pPr>
      <w:r>
        <w:rPr>
          <w:rFonts w:hint="eastAsia" w:ascii="宋体" w:hAnsi="宋体" w:cs="宋体"/>
          <w:color w:val="000000"/>
          <w:kern w:val="0"/>
        </w:rPr>
        <w:t>3.2货物安装调试完毕后，中标人应对采购人操作人员进行现场培训，直至采购人的技术人员能独立操作，同时能完成一般常见故障的维修工作。</w:t>
      </w:r>
    </w:p>
    <w:p>
      <w:pPr>
        <w:spacing w:line="360" w:lineRule="exact"/>
        <w:rPr>
          <w:rFonts w:hint="eastAsia" w:ascii="宋体" w:hAnsi="宋体" w:cs="宋体"/>
          <w:color w:val="000000"/>
          <w:kern w:val="0"/>
        </w:rPr>
      </w:pPr>
      <w:r>
        <w:rPr>
          <w:rFonts w:hint="eastAsia" w:ascii="宋体" w:hAnsi="宋体" w:cs="宋体"/>
          <w:color w:val="000000"/>
          <w:kern w:val="0"/>
        </w:rPr>
        <w:t>3.3完成中标产品所有安装、调试、培训后，采购人组织项目验收，验收标准按照《财政部关于进一步加强政府采购需求和履约验收管理的指导意见》（财库〔2016〕205号）、招标文件、中标人投标文件为准。</w:t>
      </w:r>
    </w:p>
    <w:p>
      <w:pPr>
        <w:spacing w:line="360" w:lineRule="exact"/>
        <w:rPr>
          <w:rFonts w:hint="eastAsia" w:ascii="宋体" w:hAnsi="宋体" w:cs="宋体"/>
          <w:color w:val="000000"/>
          <w:kern w:val="0"/>
        </w:rPr>
      </w:pPr>
      <w:r>
        <w:rPr>
          <w:rFonts w:hint="eastAsia" w:ascii="宋体" w:hAnsi="宋体" w:cs="宋体"/>
          <w:color w:val="000000"/>
          <w:kern w:val="0"/>
        </w:rPr>
        <w:t>4.售后服务：</w:t>
      </w:r>
    </w:p>
    <w:p>
      <w:pPr>
        <w:spacing w:line="360" w:lineRule="exact"/>
        <w:rPr>
          <w:rFonts w:hint="eastAsia" w:ascii="宋体" w:hAnsi="宋体" w:cs="宋体"/>
          <w:color w:val="000000"/>
          <w:kern w:val="0"/>
        </w:rPr>
      </w:pPr>
      <w:r>
        <w:rPr>
          <w:rFonts w:hint="eastAsia" w:ascii="宋体" w:hAnsi="宋体" w:cs="宋体"/>
          <w:color w:val="000000"/>
          <w:kern w:val="0"/>
        </w:rPr>
        <w:t>4.1质保期：最终验收合格后提供至少</w:t>
      </w:r>
      <w:r>
        <w:rPr>
          <w:rFonts w:hint="eastAsia" w:ascii="宋体" w:hAnsi="宋体" w:cs="宋体"/>
          <w:color w:val="000000"/>
          <w:kern w:val="0"/>
          <w:lang w:val="en-US" w:eastAsia="zh-CN"/>
        </w:rPr>
        <w:t>5</w:t>
      </w:r>
      <w:r>
        <w:rPr>
          <w:rFonts w:hint="eastAsia" w:ascii="宋体" w:hAnsi="宋体" w:cs="宋体"/>
          <w:color w:val="auto"/>
          <w:kern w:val="0"/>
        </w:rPr>
        <w:t>年原厂质</w:t>
      </w:r>
      <w:r>
        <w:rPr>
          <w:rFonts w:hint="eastAsia" w:ascii="宋体" w:hAnsi="宋体" w:cs="宋体"/>
          <w:color w:val="000000"/>
          <w:kern w:val="0"/>
        </w:rPr>
        <w:t>保（含整机所有部件；如质保期内部件损坏，中标人免费更换全新原厂配件，并对更换部件延长一年质保）。</w:t>
      </w:r>
    </w:p>
    <w:p>
      <w:pPr>
        <w:spacing w:line="360" w:lineRule="exact"/>
        <w:rPr>
          <w:rFonts w:hint="eastAsia" w:ascii="宋体" w:hAnsi="宋体" w:cs="宋体"/>
          <w:color w:val="000000"/>
          <w:kern w:val="0"/>
        </w:rPr>
      </w:pPr>
      <w:r>
        <w:rPr>
          <w:rFonts w:hint="eastAsia" w:ascii="宋体" w:hAnsi="宋体" w:cs="宋体"/>
          <w:color w:val="000000"/>
          <w:kern w:val="0"/>
        </w:rPr>
        <w:t>4.2中标人接到采购人故障通知后4小时内响应，48小时内到达现场维修，如维修不涉及零配件更换，应在24小时内修复完毕；如涉及到零配件更换，应在72小时内修复完毕。维修时间超过72小时的，中标人在设备维修期间提供备用机供采购人使用。若中标人未在规定期限内修复设备而给采购人造成经济损失，由中标人全额承担。</w:t>
      </w:r>
    </w:p>
    <w:p>
      <w:pPr>
        <w:spacing w:line="360" w:lineRule="exact"/>
        <w:rPr>
          <w:rFonts w:hint="eastAsia" w:ascii="宋体" w:hAnsi="宋体" w:cs="宋体"/>
          <w:color w:val="000000"/>
          <w:kern w:val="0"/>
        </w:rPr>
      </w:pPr>
      <w:r>
        <w:rPr>
          <w:rFonts w:hint="eastAsia" w:ascii="宋体" w:hAnsi="宋体" w:cs="宋体"/>
          <w:color w:val="000000"/>
          <w:kern w:val="0"/>
        </w:rPr>
        <w:t>4.3如质保期内货物经中标人两次维修仍不能达到国家相关质量标准，采购人有权要求中标人无条件更换全新货物或退货，并追究中标人违约责任。</w:t>
      </w:r>
    </w:p>
    <w:p>
      <w:pPr>
        <w:spacing w:line="360" w:lineRule="exact"/>
        <w:rPr>
          <w:rFonts w:hint="eastAsia" w:ascii="宋体" w:hAnsi="宋体" w:cs="宋体"/>
          <w:color w:val="000000"/>
          <w:kern w:val="0"/>
        </w:rPr>
      </w:pPr>
      <w:r>
        <w:rPr>
          <w:rFonts w:hint="eastAsia" w:ascii="宋体" w:hAnsi="宋体" w:cs="宋体"/>
          <w:color w:val="000000"/>
          <w:kern w:val="0"/>
        </w:rPr>
        <w:t>4.4如货物涉及软件升级，中标人承诺为采购人提供软件升级服务，费用包含在投标总价内，采购人不再另行支付费用。</w:t>
      </w:r>
    </w:p>
    <w:p>
      <w:pPr>
        <w:spacing w:line="360" w:lineRule="exact"/>
        <w:rPr>
          <w:rFonts w:hint="eastAsia" w:ascii="宋体" w:hAnsi="宋体" w:eastAsia="宋体" w:cs="宋体"/>
          <w:color w:val="000000"/>
          <w:kern w:val="0"/>
          <w:lang w:val="en-US" w:eastAsia="zh-CN"/>
        </w:rPr>
      </w:pPr>
      <w:r>
        <w:rPr>
          <w:rFonts w:hint="eastAsia" w:ascii="宋体" w:hAnsi="宋体" w:cs="宋体"/>
          <w:color w:val="000000"/>
          <w:kern w:val="0"/>
        </w:rPr>
        <w:t>4.5中标人应承诺保证设备停产后至少5年的零配件供应。</w:t>
      </w:r>
      <w:r>
        <w:rPr>
          <w:rFonts w:hint="eastAsia" w:ascii="宋体" w:hAnsi="宋体" w:eastAsia="宋体" w:cs="宋体"/>
          <w:color w:val="000000"/>
          <w:kern w:val="0"/>
        </w:rPr>
        <w:t>每年巡检≥2次</w:t>
      </w:r>
      <w:r>
        <w:rPr>
          <w:rFonts w:hint="eastAsia" w:ascii="宋体" w:hAnsi="宋体" w:eastAsia="宋体" w:cs="宋体"/>
          <w:color w:val="000000"/>
          <w:kern w:val="0"/>
          <w:lang w:eastAsia="zh-CN"/>
        </w:rPr>
        <w:t>，</w:t>
      </w:r>
      <w:r>
        <w:rPr>
          <w:rFonts w:hint="eastAsia" w:ascii="宋体" w:hAnsi="宋体" w:eastAsia="宋体" w:cs="宋体"/>
          <w:color w:val="000000"/>
          <w:kern w:val="0"/>
          <w:lang w:val="en-US" w:eastAsia="zh-CN"/>
        </w:rPr>
        <w:t>并提供巡检记录。</w:t>
      </w:r>
    </w:p>
    <w:p>
      <w:pPr>
        <w:widowControl/>
        <w:jc w:val="left"/>
        <w:rPr>
          <w:rFonts w:hint="eastAsia" w:ascii="宋体" w:hAnsi="宋体" w:cs="宋体"/>
          <w:b/>
          <w:color w:val="000000"/>
          <w:kern w:val="0"/>
        </w:rPr>
      </w:pPr>
      <w:r>
        <w:rPr>
          <w:rFonts w:hint="eastAsia" w:ascii="宋体" w:hAnsi="宋体" w:cs="宋体"/>
          <w:b/>
          <w:color w:val="000000"/>
          <w:kern w:val="0"/>
        </w:rPr>
        <w:t>备注:</w:t>
      </w:r>
      <w:r>
        <w:rPr>
          <w:rFonts w:ascii="宋体" w:hAnsi="宋体" w:cs="宋体"/>
          <w:b/>
          <w:color w:val="000000"/>
          <w:kern w:val="0"/>
        </w:rPr>
        <w:t xml:space="preserve"> </w:t>
      </w:r>
      <w:r>
        <w:rPr>
          <w:rFonts w:hint="eastAsia" w:ascii="宋体" w:hAnsi="宋体" w:cs="宋体"/>
          <w:b/>
          <w:color w:val="000000"/>
          <w:kern w:val="0"/>
        </w:rPr>
        <w:t>商务条款为本次招标项目的实质性要求，不允许有负偏离。</w:t>
      </w:r>
    </w:p>
    <w:p>
      <w:pPr>
        <w:widowControl/>
        <w:jc w:val="left"/>
        <w:rPr>
          <w:rFonts w:hint="eastAsia" w:ascii="宋体" w:hAnsi="宋体" w:eastAsia="宋体" w:cs="Segoe UI"/>
          <w:b/>
          <w:bCs/>
          <w:color w:val="333333"/>
          <w:kern w:val="0"/>
          <w:sz w:val="28"/>
          <w:szCs w:val="28"/>
        </w:rPr>
      </w:pPr>
    </w:p>
    <w:p>
      <w:pPr>
        <w:widowControl/>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：评审办法（评分细则表）</w:t>
      </w:r>
    </w:p>
    <w:tbl>
      <w:tblPr>
        <w:tblStyle w:val="11"/>
        <w:tblW w:w="63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736"/>
        <w:gridCol w:w="2060"/>
        <w:gridCol w:w="609"/>
        <w:gridCol w:w="5515"/>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61" w:type="pct"/>
            <w:vMerge w:val="restart"/>
            <w:noWrap w:val="0"/>
            <w:vAlign w:val="center"/>
          </w:tcPr>
          <w:p>
            <w:pPr>
              <w:spacing w:line="360" w:lineRule="exact"/>
              <w:jc w:val="center"/>
              <w:rPr>
                <w:rFonts w:hint="eastAsia" w:cs="宋体"/>
                <w:color w:val="000000"/>
                <w:kern w:val="0"/>
              </w:rPr>
            </w:pPr>
            <w:r>
              <w:rPr>
                <w:rFonts w:hint="eastAsia" w:cs="宋体"/>
                <w:color w:val="000000"/>
                <w:kern w:val="0"/>
              </w:rPr>
              <w:t>评分</w:t>
            </w:r>
          </w:p>
          <w:p>
            <w:pPr>
              <w:spacing w:line="360" w:lineRule="exact"/>
              <w:jc w:val="center"/>
              <w:rPr>
                <w:rFonts w:hint="eastAsia" w:cs="宋体"/>
                <w:color w:val="000000"/>
                <w:kern w:val="0"/>
              </w:rPr>
            </w:pPr>
            <w:r>
              <w:rPr>
                <w:rFonts w:hint="eastAsia" w:cs="宋体"/>
                <w:color w:val="000000"/>
                <w:kern w:val="0"/>
              </w:rPr>
              <w:t>细则</w:t>
            </w:r>
          </w:p>
        </w:tc>
        <w:tc>
          <w:tcPr>
            <w:tcW w:w="340" w:type="pct"/>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序号</w:t>
            </w:r>
          </w:p>
        </w:tc>
        <w:tc>
          <w:tcPr>
            <w:tcW w:w="953" w:type="pct"/>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评分因素</w:t>
            </w:r>
          </w:p>
        </w:tc>
        <w:tc>
          <w:tcPr>
            <w:tcW w:w="281" w:type="pct"/>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分值</w:t>
            </w:r>
          </w:p>
        </w:tc>
        <w:tc>
          <w:tcPr>
            <w:tcW w:w="2553" w:type="pct"/>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评分标准</w:t>
            </w:r>
          </w:p>
        </w:tc>
        <w:tc>
          <w:tcPr>
            <w:tcW w:w="509" w:type="pct"/>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361" w:type="pct"/>
            <w:vMerge w:val="continue"/>
            <w:noWrap w:val="0"/>
            <w:vAlign w:val="center"/>
          </w:tcPr>
          <w:p>
            <w:pPr>
              <w:spacing w:line="360" w:lineRule="exact"/>
              <w:jc w:val="center"/>
              <w:rPr>
                <w:rFonts w:hint="eastAsia" w:cs="宋体"/>
                <w:color w:val="000000"/>
                <w:kern w:val="0"/>
              </w:rPr>
            </w:pPr>
          </w:p>
        </w:tc>
        <w:tc>
          <w:tcPr>
            <w:tcW w:w="340" w:type="pct"/>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1</w:t>
            </w:r>
          </w:p>
        </w:tc>
        <w:tc>
          <w:tcPr>
            <w:tcW w:w="953" w:type="pct"/>
            <w:noWrap w:val="0"/>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投标报价</w:t>
            </w:r>
          </w:p>
          <w:p>
            <w:pPr>
              <w:widowControl/>
              <w:spacing w:line="360" w:lineRule="exact"/>
              <w:jc w:val="center"/>
              <w:rPr>
                <w:rFonts w:ascii="宋体" w:hAnsi="宋体" w:cs="Segoe UI"/>
                <w:color w:val="333333"/>
                <w:kern w:val="0"/>
              </w:rPr>
            </w:pPr>
            <w:r>
              <w:rPr>
                <w:rFonts w:hint="eastAsia" w:ascii="宋体" w:hAnsi="宋体" w:cs="Segoe UI"/>
                <w:color w:val="000000"/>
                <w:kern w:val="0"/>
              </w:rPr>
              <w:t>30%</w:t>
            </w:r>
          </w:p>
        </w:tc>
        <w:tc>
          <w:tcPr>
            <w:tcW w:w="281" w:type="pct"/>
            <w:noWrap w:val="0"/>
            <w:vAlign w:val="center"/>
          </w:tcPr>
          <w:p>
            <w:pPr>
              <w:widowControl/>
              <w:spacing w:line="360" w:lineRule="exact"/>
              <w:jc w:val="center"/>
              <w:rPr>
                <w:rFonts w:hint="eastAsia" w:ascii="宋体" w:hAnsi="宋体" w:eastAsia="宋体" w:cs="宋体"/>
              </w:rPr>
            </w:pPr>
            <w:r>
              <w:rPr>
                <w:rFonts w:hint="eastAsia" w:ascii="宋体" w:hAnsi="宋体" w:eastAsia="宋体" w:cs="宋体"/>
              </w:rPr>
              <w:t>30</w:t>
            </w:r>
          </w:p>
        </w:tc>
        <w:tc>
          <w:tcPr>
            <w:tcW w:w="2553" w:type="pct"/>
            <w:noWrap w:val="0"/>
            <w:vAlign w:val="center"/>
          </w:tcPr>
          <w:p>
            <w:pPr>
              <w:widowControl/>
              <w:spacing w:line="360" w:lineRule="exact"/>
              <w:rPr>
                <w:rFonts w:hint="eastAsia" w:ascii="宋体" w:hAnsi="宋体" w:eastAsia="宋体" w:cs="宋体"/>
              </w:rPr>
            </w:pPr>
            <w:r>
              <w:rPr>
                <w:rFonts w:hint="eastAsia" w:ascii="宋体" w:hAnsi="宋体" w:eastAsia="宋体" w:cs="宋体"/>
              </w:rPr>
              <w:t>满足招标文件要求且投标报价最低的有效投标报价为评标基准价，其投标人的报价分为30分。其他投标人的报价分按以下公式计算：报价得分=(评标基准价／投标报价)×30。</w:t>
            </w:r>
          </w:p>
        </w:tc>
        <w:tc>
          <w:tcPr>
            <w:tcW w:w="509" w:type="pct"/>
            <w:noWrap w:val="0"/>
            <w:vAlign w:val="center"/>
          </w:tcPr>
          <w:p>
            <w:pPr>
              <w:spacing w:line="360" w:lineRule="exact"/>
              <w:jc w:val="center"/>
              <w:rPr>
                <w:rFonts w:ascii="宋体" w:hAnsi="宋体" w:cs="Segoe UI"/>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361" w:type="pct"/>
            <w:vMerge w:val="continue"/>
            <w:noWrap w:val="0"/>
            <w:vAlign w:val="center"/>
          </w:tcPr>
          <w:p>
            <w:pPr>
              <w:spacing w:line="360" w:lineRule="exact"/>
              <w:jc w:val="center"/>
              <w:rPr>
                <w:rFonts w:hint="eastAsia" w:cs="宋体"/>
                <w:color w:val="000000"/>
                <w:kern w:val="0"/>
              </w:rPr>
            </w:pPr>
          </w:p>
        </w:tc>
        <w:tc>
          <w:tcPr>
            <w:tcW w:w="340" w:type="pct"/>
            <w:noWrap w:val="0"/>
            <w:vAlign w:val="center"/>
          </w:tcPr>
          <w:p>
            <w:pPr>
              <w:widowControl/>
              <w:spacing w:line="360" w:lineRule="exact"/>
              <w:jc w:val="center"/>
              <w:rPr>
                <w:rFonts w:hint="eastAsia" w:ascii="宋体" w:hAnsi="宋体" w:cs="Segoe UI"/>
                <w:color w:val="000000"/>
                <w:kern w:val="0"/>
              </w:rPr>
            </w:pPr>
            <w:r>
              <w:rPr>
                <w:rFonts w:hint="eastAsia" w:ascii="宋体" w:hAnsi="宋体" w:cs="Segoe UI"/>
                <w:color w:val="333333"/>
                <w:kern w:val="0"/>
                <w:lang w:val="en-US" w:eastAsia="zh-CN"/>
              </w:rPr>
              <w:t>2</w:t>
            </w:r>
          </w:p>
        </w:tc>
        <w:tc>
          <w:tcPr>
            <w:tcW w:w="953" w:type="pct"/>
            <w:noWrap w:val="0"/>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技术指标</w:t>
            </w:r>
          </w:p>
          <w:p>
            <w:pPr>
              <w:widowControl/>
              <w:spacing w:line="360" w:lineRule="exact"/>
              <w:jc w:val="center"/>
              <w:rPr>
                <w:rFonts w:hint="eastAsia" w:ascii="宋体" w:hAnsi="宋体" w:cs="Segoe UI"/>
                <w:color w:val="000000"/>
                <w:kern w:val="0"/>
              </w:rPr>
            </w:pPr>
            <w:r>
              <w:rPr>
                <w:rFonts w:hint="eastAsia" w:ascii="宋体" w:hAnsi="宋体" w:cs="Segoe UI"/>
                <w:color w:val="000000"/>
                <w:kern w:val="0"/>
                <w:lang w:val="en-US" w:eastAsia="zh-CN"/>
              </w:rPr>
              <w:t>56</w:t>
            </w:r>
            <w:r>
              <w:rPr>
                <w:rFonts w:hint="eastAsia" w:ascii="宋体" w:hAnsi="宋体" w:cs="Segoe UI"/>
                <w:color w:val="000000"/>
                <w:kern w:val="0"/>
              </w:rPr>
              <w:t>%</w:t>
            </w:r>
          </w:p>
        </w:tc>
        <w:tc>
          <w:tcPr>
            <w:tcW w:w="281" w:type="pct"/>
            <w:noWrap w:val="0"/>
            <w:vAlign w:val="center"/>
          </w:tcPr>
          <w:p>
            <w:pPr>
              <w:widowControl/>
              <w:spacing w:line="360" w:lineRule="exact"/>
              <w:jc w:val="center"/>
              <w:rPr>
                <w:rFonts w:hint="eastAsia" w:ascii="宋体" w:hAnsi="宋体" w:eastAsia="宋体" w:cs="宋体"/>
              </w:rPr>
            </w:pPr>
            <w:r>
              <w:rPr>
                <w:rFonts w:hint="eastAsia" w:ascii="宋体" w:hAnsi="宋体" w:cs="Segoe UI"/>
                <w:color w:val="000000"/>
                <w:kern w:val="0"/>
                <w:lang w:val="en-US" w:eastAsia="zh-CN"/>
              </w:rPr>
              <w:t>56</w:t>
            </w:r>
          </w:p>
        </w:tc>
        <w:tc>
          <w:tcPr>
            <w:tcW w:w="2553" w:type="pct"/>
            <w:noWrap w:val="0"/>
            <w:vAlign w:val="center"/>
          </w:tcPr>
          <w:p>
            <w:pPr>
              <w:widowControl/>
              <w:spacing w:line="360" w:lineRule="exact"/>
              <w:rPr>
                <w:rFonts w:hint="eastAsia" w:ascii="宋体" w:hAnsi="宋体" w:cs="宋体"/>
              </w:rPr>
            </w:pPr>
            <w:r>
              <w:rPr>
                <w:rFonts w:hint="eastAsia" w:ascii="宋体" w:hAnsi="宋体" w:cs="宋体"/>
              </w:rPr>
              <w:t>完全符合招标文件技术参数要求得</w:t>
            </w:r>
            <w:r>
              <w:rPr>
                <w:rFonts w:hint="eastAsia" w:ascii="宋体" w:hAnsi="宋体" w:cs="宋体"/>
                <w:lang w:val="en-US" w:eastAsia="zh-CN"/>
              </w:rPr>
              <w:t>56</w:t>
            </w:r>
            <w:r>
              <w:rPr>
                <w:rFonts w:hint="eastAsia" w:ascii="宋体" w:hAnsi="宋体" w:cs="宋体"/>
              </w:rPr>
              <w:t>。▲号条款负偏离一项扣</w:t>
            </w:r>
            <w:r>
              <w:rPr>
                <w:rFonts w:hint="eastAsia" w:ascii="宋体" w:hAnsi="宋体" w:cs="宋体"/>
                <w:lang w:val="en-US" w:eastAsia="zh-CN"/>
              </w:rPr>
              <w:t>7</w:t>
            </w:r>
            <w:r>
              <w:rPr>
                <w:rFonts w:hint="eastAsia" w:ascii="宋体" w:hAnsi="宋体" w:cs="宋体"/>
              </w:rPr>
              <w:t>分，非▲号条款一项扣</w:t>
            </w:r>
            <w:r>
              <w:rPr>
                <w:rFonts w:hint="eastAsia" w:ascii="宋体" w:hAnsi="宋体" w:cs="宋体"/>
                <w:lang w:val="en-US" w:eastAsia="zh-CN"/>
              </w:rPr>
              <w:t>1</w:t>
            </w:r>
            <w:r>
              <w:rPr>
                <w:rFonts w:hint="eastAsia" w:ascii="宋体" w:hAnsi="宋体" w:cs="宋体"/>
              </w:rPr>
              <w:t>分，扣完为止。（▲号条款共</w:t>
            </w:r>
            <w:r>
              <w:rPr>
                <w:rFonts w:hint="eastAsia" w:ascii="宋体" w:hAnsi="宋体" w:cs="宋体"/>
                <w:lang w:val="en-US" w:eastAsia="zh-CN"/>
              </w:rPr>
              <w:t>6</w:t>
            </w:r>
            <w:r>
              <w:rPr>
                <w:rFonts w:hint="eastAsia" w:ascii="宋体" w:hAnsi="宋体" w:cs="宋体"/>
              </w:rPr>
              <w:t>项，非▲号条款共</w:t>
            </w:r>
            <w:r>
              <w:rPr>
                <w:rFonts w:hint="eastAsia" w:ascii="宋体" w:hAnsi="宋体" w:cs="宋体"/>
                <w:lang w:val="en-US" w:eastAsia="zh-CN"/>
              </w:rPr>
              <w:t>14</w:t>
            </w:r>
            <w:r>
              <w:rPr>
                <w:rFonts w:hint="eastAsia" w:ascii="宋体" w:hAnsi="宋体" w:cs="宋体"/>
              </w:rPr>
              <w:t>项）。</w:t>
            </w:r>
          </w:p>
          <w:p>
            <w:pPr>
              <w:widowControl/>
              <w:spacing w:line="360" w:lineRule="exact"/>
              <w:rPr>
                <w:rFonts w:hint="eastAsia" w:ascii="宋体" w:hAnsi="宋体" w:eastAsia="宋体" w:cs="宋体"/>
              </w:rPr>
            </w:pPr>
            <w:r>
              <w:rPr>
                <w:rFonts w:hint="eastAsia" w:ascii="宋体" w:hAnsi="宋体" w:eastAsia="宋体" w:cs="宋体"/>
                <w:highlight w:val="none"/>
              </w:rPr>
              <w:t>注：（1）▲号条款需提供证明文件（按招标文件要求提供资料, ▲号条款招标文件未要求提供证明材料的，提供所投产品</w:t>
            </w:r>
            <w:r>
              <w:rPr>
                <w:rFonts w:hint="eastAsia" w:ascii="宋体" w:hAnsi="宋体" w:eastAsia="宋体" w:cs="宋体"/>
                <w:highlight w:val="none"/>
                <w:lang w:val="en-US" w:eastAsia="zh-CN"/>
              </w:rPr>
              <w:t>的</w:t>
            </w:r>
            <w:r>
              <w:rPr>
                <w:rFonts w:hint="eastAsia" w:ascii="宋体" w:hAnsi="宋体" w:eastAsia="宋体" w:cs="宋体"/>
                <w:highlight w:val="none"/>
              </w:rPr>
              <w:t>说明书或向社会公开的彩页资料或国家认可的合法的检测机构出具的检测报告</w:t>
            </w:r>
            <w:r>
              <w:rPr>
                <w:rFonts w:hint="eastAsia" w:ascii="宋体" w:hAnsi="宋体" w:eastAsia="宋体" w:cs="宋体"/>
                <w:highlight w:val="none"/>
                <w:lang w:val="en-US" w:eastAsia="zh-CN"/>
              </w:rPr>
              <w:t>或设备实物照片及功能界面截图</w:t>
            </w:r>
            <w:r>
              <w:rPr>
                <w:rFonts w:hint="eastAsia" w:ascii="宋体" w:hAnsi="宋体" w:eastAsia="宋体" w:cs="宋体"/>
                <w:highlight w:val="none"/>
              </w:rPr>
              <w:t>等有效证明材料并加盖投标人公章）。（2）如技术指标在投标文件中未对应出现或在投标文件中存在自相矛盾之处或未提供的不得分。</w:t>
            </w:r>
          </w:p>
        </w:tc>
        <w:tc>
          <w:tcPr>
            <w:tcW w:w="509" w:type="pct"/>
            <w:noWrap w:val="0"/>
            <w:vAlign w:val="center"/>
          </w:tcPr>
          <w:p>
            <w:pPr>
              <w:widowControl/>
              <w:spacing w:line="360" w:lineRule="exact"/>
              <w:jc w:val="center"/>
              <w:rPr>
                <w:rFonts w:hint="eastAsia" w:ascii="宋体" w:hAnsi="宋体" w:cs="宋体"/>
              </w:rPr>
            </w:pPr>
            <w:r>
              <w:rPr>
                <w:rFonts w:hint="eastAsia" w:ascii="宋体" w:hAnsi="宋体" w:cs="宋体"/>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2" w:hRule="atLeast"/>
          <w:jc w:val="center"/>
        </w:trPr>
        <w:tc>
          <w:tcPr>
            <w:tcW w:w="361" w:type="pct"/>
            <w:vMerge w:val="continue"/>
            <w:noWrap w:val="0"/>
            <w:vAlign w:val="center"/>
          </w:tcPr>
          <w:p>
            <w:pPr>
              <w:spacing w:line="360" w:lineRule="exact"/>
              <w:jc w:val="center"/>
              <w:rPr>
                <w:rFonts w:hint="eastAsia" w:cs="宋体"/>
                <w:color w:val="000000"/>
                <w:kern w:val="0"/>
              </w:rPr>
            </w:pPr>
          </w:p>
        </w:tc>
        <w:tc>
          <w:tcPr>
            <w:tcW w:w="340" w:type="pct"/>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333333"/>
                <w:kern w:val="0"/>
                <w:lang w:val="en-US" w:eastAsia="zh-CN"/>
              </w:rPr>
              <w:t>3</w:t>
            </w:r>
          </w:p>
        </w:tc>
        <w:tc>
          <w:tcPr>
            <w:tcW w:w="953" w:type="pct"/>
            <w:noWrap w:val="0"/>
            <w:vAlign w:val="center"/>
          </w:tcPr>
          <w:p>
            <w:pPr>
              <w:widowControl/>
              <w:spacing w:line="360" w:lineRule="exact"/>
              <w:jc w:val="center"/>
              <w:rPr>
                <w:rFonts w:hint="eastAsia" w:ascii="宋体" w:hAnsi="宋体" w:cs="宋体"/>
              </w:rPr>
            </w:pPr>
            <w:r>
              <w:rPr>
                <w:rFonts w:hint="eastAsia" w:ascii="宋体" w:hAnsi="宋体" w:cs="宋体"/>
              </w:rPr>
              <w:t>业绩</w:t>
            </w:r>
          </w:p>
          <w:p>
            <w:pPr>
              <w:widowControl/>
              <w:spacing w:line="360" w:lineRule="exact"/>
              <w:jc w:val="center"/>
              <w:rPr>
                <w:rFonts w:ascii="宋体" w:hAnsi="宋体" w:cs="Segoe UI"/>
                <w:color w:val="333333"/>
                <w:kern w:val="0"/>
              </w:rPr>
            </w:pPr>
            <w:r>
              <w:rPr>
                <w:rFonts w:hint="eastAsia" w:ascii="宋体" w:hAnsi="宋体" w:cs="宋体"/>
                <w:lang w:val="en-US" w:eastAsia="zh-CN"/>
              </w:rPr>
              <w:t>6</w:t>
            </w:r>
            <w:r>
              <w:rPr>
                <w:rFonts w:hint="eastAsia" w:ascii="宋体" w:hAnsi="宋体" w:cs="宋体"/>
              </w:rPr>
              <w:t>%</w:t>
            </w:r>
          </w:p>
        </w:tc>
        <w:tc>
          <w:tcPr>
            <w:tcW w:w="281" w:type="pct"/>
            <w:noWrap w:val="0"/>
            <w:vAlign w:val="center"/>
          </w:tcPr>
          <w:p>
            <w:pPr>
              <w:widowControl/>
              <w:spacing w:line="360" w:lineRule="exact"/>
              <w:jc w:val="center"/>
              <w:rPr>
                <w:rFonts w:hint="default" w:ascii="宋体" w:hAnsi="宋体" w:eastAsia="宋体" w:cs="宋体"/>
                <w:lang w:val="en-US" w:eastAsia="zh-CN"/>
              </w:rPr>
            </w:pPr>
            <w:r>
              <w:rPr>
                <w:rFonts w:hint="eastAsia" w:ascii="宋体" w:hAnsi="宋体" w:cs="宋体"/>
                <w:lang w:val="en-US" w:eastAsia="zh-CN"/>
              </w:rPr>
              <w:t>6</w:t>
            </w:r>
          </w:p>
        </w:tc>
        <w:tc>
          <w:tcPr>
            <w:tcW w:w="2553" w:type="pct"/>
            <w:noWrap w:val="0"/>
            <w:vAlign w:val="center"/>
          </w:tcPr>
          <w:p>
            <w:pPr>
              <w:widowControl/>
              <w:spacing w:line="360" w:lineRule="exact"/>
              <w:rPr>
                <w:rFonts w:hint="eastAsia" w:ascii="宋体" w:hAnsi="宋体" w:cs="宋体"/>
              </w:rPr>
            </w:pPr>
            <w:r>
              <w:rPr>
                <w:rFonts w:hint="eastAsia" w:ascii="宋体" w:hAnsi="宋体" w:cs="宋体"/>
              </w:rPr>
              <w:t>自202</w:t>
            </w:r>
            <w:r>
              <w:rPr>
                <w:rFonts w:hint="eastAsia" w:ascii="宋体" w:hAnsi="宋体" w:cs="宋体"/>
                <w:lang w:val="en-US" w:eastAsia="zh-CN"/>
              </w:rPr>
              <w:t>1</w:t>
            </w:r>
            <w:r>
              <w:rPr>
                <w:rFonts w:hint="eastAsia" w:ascii="宋体" w:hAnsi="宋体" w:cs="宋体"/>
              </w:rPr>
              <w:t>年1月1日（含）至今，以合同签订时间为准，投标人每具有一个</w:t>
            </w:r>
            <w:r>
              <w:rPr>
                <w:rFonts w:hint="eastAsia" w:ascii="宋体" w:hAnsi="宋体" w:cs="宋体"/>
                <w:lang w:val="en-US" w:eastAsia="zh-CN"/>
              </w:rPr>
              <w:t>投标产品</w:t>
            </w:r>
            <w:r>
              <w:rPr>
                <w:rFonts w:hint="eastAsia" w:ascii="宋体" w:hAnsi="宋体" w:cs="宋体"/>
              </w:rPr>
              <w:t>业绩的得1分</w:t>
            </w:r>
            <w:r>
              <w:rPr>
                <w:rFonts w:hint="eastAsia" w:ascii="宋体" w:hAnsi="宋体" w:cs="宋体"/>
                <w:lang w:eastAsia="zh-CN"/>
              </w:rPr>
              <w:t>、</w:t>
            </w:r>
            <w:bookmarkStart w:id="1" w:name="_GoBack"/>
            <w:bookmarkEnd w:id="1"/>
            <w:r>
              <w:rPr>
                <w:rFonts w:hint="eastAsia" w:ascii="宋体" w:hAnsi="宋体" w:cs="宋体"/>
                <w:lang w:val="en-US" w:eastAsia="zh-CN"/>
              </w:rPr>
              <w:t>相同产品业绩不超过2分，</w:t>
            </w:r>
            <w:r>
              <w:rPr>
                <w:rFonts w:hint="eastAsia" w:ascii="宋体" w:hAnsi="宋体" w:cs="宋体"/>
              </w:rPr>
              <w:t>最高得</w:t>
            </w:r>
            <w:r>
              <w:rPr>
                <w:rFonts w:hint="eastAsia" w:ascii="宋体" w:hAnsi="宋体" w:cs="宋体"/>
                <w:lang w:val="en-US" w:eastAsia="zh-CN"/>
              </w:rPr>
              <w:t>6</w:t>
            </w:r>
            <w:r>
              <w:rPr>
                <w:rFonts w:hint="eastAsia" w:ascii="宋体" w:hAnsi="宋体" w:cs="宋体"/>
              </w:rPr>
              <w:t xml:space="preserve">分。 </w:t>
            </w:r>
          </w:p>
          <w:p>
            <w:pPr>
              <w:widowControl/>
              <w:spacing w:line="360" w:lineRule="exact"/>
              <w:rPr>
                <w:rFonts w:hint="eastAsia" w:ascii="宋体" w:hAnsi="宋体" w:eastAsia="宋体" w:cs="宋体"/>
              </w:rPr>
            </w:pPr>
            <w:r>
              <w:rPr>
                <w:rFonts w:hint="eastAsia" w:ascii="宋体" w:hAnsi="宋体" w:cs="宋体"/>
              </w:rPr>
              <w:t>注：提供项目合同复印件或中标（成交）通知书复印件并加盖投标人公章（鲜章）。</w:t>
            </w:r>
          </w:p>
        </w:tc>
        <w:tc>
          <w:tcPr>
            <w:tcW w:w="509" w:type="pct"/>
            <w:noWrap w:val="0"/>
            <w:vAlign w:val="center"/>
          </w:tcPr>
          <w:p>
            <w:pPr>
              <w:widowControl/>
              <w:spacing w:line="360" w:lineRule="exact"/>
              <w:jc w:val="center"/>
              <w:rPr>
                <w:rFonts w:ascii="宋体" w:hAnsi="宋体" w:cs="Segoe UI"/>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361" w:type="pct"/>
            <w:vMerge w:val="continue"/>
            <w:noWrap w:val="0"/>
            <w:vAlign w:val="center"/>
          </w:tcPr>
          <w:p>
            <w:pPr>
              <w:spacing w:line="360" w:lineRule="exact"/>
              <w:jc w:val="center"/>
              <w:rPr>
                <w:rFonts w:hint="eastAsia" w:cs="宋体"/>
                <w:color w:val="000000"/>
                <w:kern w:val="0"/>
              </w:rPr>
            </w:pPr>
          </w:p>
        </w:tc>
        <w:tc>
          <w:tcPr>
            <w:tcW w:w="340" w:type="pct"/>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highlight w:val="none"/>
              </w:rPr>
              <w:t>4</w:t>
            </w:r>
          </w:p>
        </w:tc>
        <w:tc>
          <w:tcPr>
            <w:tcW w:w="953" w:type="pct"/>
            <w:noWrap w:val="0"/>
            <w:vAlign w:val="center"/>
          </w:tcPr>
          <w:p>
            <w:pPr>
              <w:widowControl/>
              <w:spacing w:line="360" w:lineRule="exact"/>
              <w:jc w:val="center"/>
              <w:rPr>
                <w:rFonts w:hint="eastAsia" w:ascii="宋体" w:hAnsi="宋体" w:eastAsia="宋体" w:cs="宋体"/>
                <w:highlight w:val="none"/>
              </w:rPr>
            </w:pPr>
            <w:r>
              <w:rPr>
                <w:rFonts w:hint="eastAsia" w:ascii="宋体" w:hAnsi="宋体" w:eastAsia="宋体" w:cs="宋体"/>
                <w:highlight w:val="none"/>
              </w:rPr>
              <w:t>售后服务方案</w:t>
            </w:r>
          </w:p>
          <w:p>
            <w:pPr>
              <w:widowControl/>
              <w:spacing w:line="360" w:lineRule="exact"/>
              <w:jc w:val="center"/>
              <w:rPr>
                <w:rFonts w:ascii="宋体" w:hAnsi="宋体" w:cs="Segoe UI"/>
                <w:color w:val="000000"/>
                <w:kern w:val="0"/>
              </w:rPr>
            </w:pPr>
            <w:r>
              <w:rPr>
                <w:rFonts w:hint="eastAsia" w:ascii="宋体" w:hAnsi="宋体" w:eastAsia="宋体" w:cs="宋体"/>
                <w:highlight w:val="none"/>
                <w:lang w:val="en-US" w:eastAsia="zh-CN"/>
              </w:rPr>
              <w:t>8</w:t>
            </w:r>
            <w:r>
              <w:rPr>
                <w:rFonts w:hint="eastAsia" w:ascii="宋体" w:hAnsi="宋体" w:eastAsia="宋体" w:cs="宋体"/>
                <w:highlight w:val="none"/>
              </w:rPr>
              <w:t>%</w:t>
            </w:r>
          </w:p>
        </w:tc>
        <w:tc>
          <w:tcPr>
            <w:tcW w:w="281" w:type="pct"/>
            <w:noWrap w:val="0"/>
            <w:vAlign w:val="center"/>
          </w:tcPr>
          <w:p>
            <w:pPr>
              <w:widowControl/>
              <w:spacing w:line="360" w:lineRule="exact"/>
              <w:jc w:val="center"/>
              <w:rPr>
                <w:rFonts w:hint="default" w:ascii="宋体" w:hAnsi="宋体" w:eastAsia="宋体" w:cs="宋体"/>
                <w:lang w:val="en-US" w:eastAsia="zh-CN"/>
              </w:rPr>
            </w:pPr>
            <w:r>
              <w:rPr>
                <w:rFonts w:hint="eastAsia" w:ascii="宋体" w:hAnsi="宋体" w:eastAsia="宋体" w:cs="宋体"/>
                <w:highlight w:val="none"/>
                <w:lang w:val="en-US" w:eastAsia="zh-CN"/>
              </w:rPr>
              <w:t>8</w:t>
            </w:r>
          </w:p>
        </w:tc>
        <w:tc>
          <w:tcPr>
            <w:tcW w:w="2553" w:type="pct"/>
            <w:noWrap w:val="0"/>
            <w:vAlign w:val="center"/>
          </w:tcPr>
          <w:p>
            <w:pPr>
              <w:widowControl/>
              <w:spacing w:line="360" w:lineRule="exact"/>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1</w:t>
            </w:r>
            <w:r>
              <w:rPr>
                <w:rFonts w:hint="eastAsia" w:ascii="宋体" w:hAnsi="宋体" w:eastAsia="宋体" w:cs="宋体"/>
                <w:highlight w:val="none"/>
                <w:lang w:eastAsia="zh-CN"/>
              </w:rPr>
              <w:t>）</w:t>
            </w:r>
            <w:r>
              <w:rPr>
                <w:rFonts w:hint="eastAsia" w:ascii="宋体" w:hAnsi="宋体" w:eastAsia="宋体" w:cs="宋体"/>
                <w:highlight w:val="none"/>
              </w:rPr>
              <w:t>根据投标人提供的售后服务方案，包含：①质量保障方案；②技术支持方案；③应急方案；④服务响应方案。方案包含以上4个方面的得</w:t>
            </w:r>
            <w:r>
              <w:rPr>
                <w:rFonts w:hint="eastAsia" w:ascii="宋体" w:hAnsi="宋体" w:eastAsia="宋体" w:cs="宋体"/>
                <w:highlight w:val="none"/>
                <w:lang w:val="en-US" w:eastAsia="zh-CN"/>
              </w:rPr>
              <w:t>4</w:t>
            </w:r>
            <w:r>
              <w:rPr>
                <w:rFonts w:hint="eastAsia" w:ascii="宋体" w:hAnsi="宋体" w:eastAsia="宋体" w:cs="宋体"/>
                <w:highlight w:val="none"/>
              </w:rPr>
              <w:t>分，每缺少一项的扣</w:t>
            </w:r>
            <w:r>
              <w:rPr>
                <w:rFonts w:hint="eastAsia" w:ascii="宋体" w:hAnsi="宋体" w:eastAsia="宋体" w:cs="宋体"/>
                <w:highlight w:val="none"/>
                <w:lang w:val="en-US" w:eastAsia="zh-CN"/>
              </w:rPr>
              <w:t>1</w:t>
            </w:r>
            <w:r>
              <w:rPr>
                <w:rFonts w:hint="eastAsia" w:ascii="宋体" w:hAnsi="宋体" w:eastAsia="宋体" w:cs="宋体"/>
                <w:highlight w:val="none"/>
              </w:rPr>
              <w:t>分，每有一项存在内容缺陷扣</w:t>
            </w:r>
            <w:r>
              <w:rPr>
                <w:rFonts w:hint="eastAsia" w:ascii="宋体" w:hAnsi="宋体" w:eastAsia="宋体" w:cs="宋体"/>
                <w:highlight w:val="none"/>
                <w:lang w:val="en-US" w:eastAsia="zh-CN"/>
              </w:rPr>
              <w:t>0.5</w:t>
            </w:r>
            <w:r>
              <w:rPr>
                <w:rFonts w:hint="eastAsia" w:ascii="宋体" w:hAnsi="宋体" w:eastAsia="宋体" w:cs="宋体"/>
                <w:highlight w:val="none"/>
              </w:rPr>
              <w:t>分，扣完为止。</w:t>
            </w:r>
          </w:p>
          <w:p>
            <w:pPr>
              <w:widowControl/>
              <w:spacing w:line="360" w:lineRule="exact"/>
              <w:rPr>
                <w:rFonts w:hint="eastAsia" w:ascii="宋体" w:hAnsi="宋体" w:eastAsia="宋体" w:cs="宋体"/>
                <w:highlight w:val="none"/>
              </w:rPr>
            </w:pPr>
            <w:r>
              <w:rPr>
                <w:rFonts w:hint="eastAsia" w:ascii="宋体" w:hAnsi="宋体" w:eastAsia="宋体" w:cs="宋体"/>
                <w:highlight w:val="none"/>
              </w:rPr>
              <w:t>（2）根据投标人提供的与投标产品相关的①技术培训服务方案（其中应包含培训人员及维修人员的相关专业证书及在职证明加盖投标人公章）；②服务培训计划。方案包含以上2个方面的得4分，每缺少一项的扣2分，每有一项存在内容缺陷扣1分，扣完为止。</w:t>
            </w:r>
          </w:p>
          <w:p>
            <w:pPr>
              <w:widowControl/>
              <w:spacing w:line="360" w:lineRule="exact"/>
              <w:rPr>
                <w:rFonts w:ascii="宋体" w:hAnsi="宋体" w:cs="宋体"/>
              </w:rPr>
            </w:pPr>
            <w:r>
              <w:rPr>
                <w:rFonts w:hint="eastAsia" w:ascii="宋体" w:hAnsi="宋体" w:eastAsia="宋体" w:cs="宋体"/>
                <w:highlight w:val="none"/>
              </w:rPr>
              <w:t>注：</w:t>
            </w:r>
            <w:r>
              <w:rPr>
                <w:rFonts w:hint="eastAsia" w:ascii="宋体" w:hAnsi="宋体" w:cs="宋体"/>
              </w:rPr>
              <w:t>内容缺陷是指存在项目名称错误、地点区域错误、内容与本项目需求无关、方案内容矛盾或表述前后不一致、仅有框架或标题、适用的标准(方法)错误、明显复制其他项目内容等任意一种情形。</w:t>
            </w:r>
          </w:p>
        </w:tc>
        <w:tc>
          <w:tcPr>
            <w:tcW w:w="509" w:type="pct"/>
            <w:noWrap w:val="0"/>
            <w:vAlign w:val="center"/>
          </w:tcPr>
          <w:p>
            <w:pPr>
              <w:widowControl/>
              <w:spacing w:line="360" w:lineRule="exact"/>
              <w:jc w:val="center"/>
              <w:rPr>
                <w:rFonts w:ascii="宋体" w:hAnsi="宋体" w:cs="Segoe UI"/>
                <w:color w:val="000000"/>
                <w:kern w:val="0"/>
              </w:rPr>
            </w:pPr>
            <w:r>
              <w:rPr>
                <w:rFonts w:hint="eastAsia" w:ascii="宋体" w:hAnsi="宋体" w:cs="宋体"/>
                <w:highlight w:val="none"/>
              </w:rPr>
              <w:t>技术评审因素</w:t>
            </w:r>
          </w:p>
        </w:tc>
      </w:tr>
    </w:tbl>
    <w:p>
      <w:pPr>
        <w:widowControl/>
        <w:jc w:val="left"/>
        <w:rPr>
          <w:rFonts w:ascii="宋体" w:hAnsi="宋体" w:eastAsia="宋体" w:cs="Segoe UI"/>
          <w:b/>
          <w:bCs/>
          <w:color w:val="333333"/>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hint="eastAsia"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r>
        <w:rPr>
          <w:rFonts w:hint="eastAsia" w:ascii="仿宋_GB2312" w:hAnsi="Segoe UI" w:eastAsia="仿宋_GB2312" w:cs="Segoe UI"/>
          <w:color w:val="333333"/>
          <w:kern w:val="0"/>
          <w:sz w:val="24"/>
          <w:szCs w:val="24"/>
          <w:lang w:eastAsia="zh-CN"/>
        </w:rPr>
        <w:t>、</w:t>
      </w:r>
      <w:r>
        <w:rPr>
          <w:rFonts w:hint="eastAsia" w:ascii="仿宋_GB2312" w:hAnsi="Segoe UI" w:eastAsia="仿宋_GB2312" w:cs="Segoe UI"/>
          <w:color w:val="333333"/>
          <w:kern w:val="0"/>
          <w:sz w:val="24"/>
          <w:szCs w:val="24"/>
          <w:lang w:val="en-US" w:eastAsia="zh-CN"/>
        </w:rPr>
        <w:t>经办人社保缴纳证明等资格文件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r>
        <w:rPr>
          <w:rFonts w:hint="eastAsia" w:ascii="仿宋_GB2312" w:hAnsi="Segoe UI" w:eastAsia="仿宋_GB2312" w:cs="Segoe UI"/>
          <w:color w:val="333333"/>
          <w:kern w:val="0"/>
          <w:sz w:val="24"/>
          <w:szCs w:val="24"/>
          <w:lang w:val="en-US" w:eastAsia="zh-CN"/>
        </w:rPr>
        <w:t>等资格文件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11"/>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hint="eastAsia" w:ascii="仿宋_GB2312" w:hAnsi="Segoe UI" w:eastAsia="仿宋_GB2312" w:cs="Segoe UI"/>
          <w:color w:val="333333"/>
          <w:kern w:val="0"/>
          <w:sz w:val="22"/>
        </w:rPr>
      </w:pPr>
      <w:r>
        <w:rPr>
          <w:rFonts w:hint="eastAsia" w:ascii="仿宋_GB2312" w:hAnsi="Segoe UI" w:eastAsia="仿宋_GB2312" w:cs="Segoe UI"/>
          <w:color w:val="333333"/>
          <w:kern w:val="0"/>
          <w:sz w:val="22"/>
        </w:rPr>
        <w:t>注：</w:t>
      </w:r>
    </w:p>
    <w:p>
      <w:pPr>
        <w:widowControl/>
        <w:shd w:val="clear" w:color="auto" w:fill="FFFFFF"/>
        <w:wordWrap w:val="0"/>
        <w:spacing w:line="270" w:lineRule="atLeast"/>
        <w:ind w:firstLine="480"/>
        <w:jc w:val="left"/>
        <w:rPr>
          <w:rFonts w:hint="eastAsia" w:ascii="仿宋_GB2312" w:hAnsi="Segoe UI" w:eastAsia="仿宋_GB2312" w:cs="Segoe UI"/>
          <w:color w:val="333333"/>
          <w:kern w:val="0"/>
          <w:sz w:val="22"/>
        </w:rPr>
      </w:pPr>
      <w:r>
        <w:rPr>
          <w:rFonts w:hint="eastAsia" w:ascii="仿宋_GB2312" w:hAnsi="Segoe UI" w:eastAsia="仿宋_GB2312" w:cs="Segoe UI"/>
          <w:color w:val="333333"/>
          <w:kern w:val="0"/>
          <w:sz w:val="22"/>
        </w:rPr>
        <w:t>1、偏离表</w:t>
      </w:r>
      <w:r>
        <w:rPr>
          <w:rFonts w:hint="eastAsia" w:ascii="仿宋_GB2312" w:hAnsi="Segoe UI" w:eastAsia="仿宋_GB2312" w:cs="Segoe UI"/>
          <w:color w:val="333333"/>
          <w:kern w:val="0"/>
          <w:sz w:val="22"/>
          <w:lang w:val="en-US" w:eastAsia="zh-CN"/>
        </w:rPr>
        <w:t>内容包含技术要求、商务要求，</w:t>
      </w:r>
      <w:r>
        <w:rPr>
          <w:rFonts w:hint="eastAsia" w:ascii="仿宋_GB2312" w:hAnsi="Segoe UI" w:eastAsia="仿宋_GB2312" w:cs="Segoe UI"/>
          <w:color w:val="333333"/>
          <w:kern w:val="0"/>
          <w:sz w:val="22"/>
        </w:rPr>
        <w:t>此表要求投标文件与招标文件要求一一对应、逐一列出；</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11"/>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11"/>
        <w:tblW w:w="8326" w:type="dxa"/>
        <w:tblInd w:w="0" w:type="dxa"/>
        <w:shd w:val="clear" w:color="auto" w:fill="FFFFFF"/>
        <w:tblLayout w:type="autofit"/>
        <w:tblCellMar>
          <w:top w:w="0" w:type="dxa"/>
          <w:left w:w="0" w:type="dxa"/>
          <w:bottom w:w="0" w:type="dxa"/>
          <w:right w:w="0" w:type="dxa"/>
        </w:tblCellMar>
      </w:tblPr>
      <w:tblGrid>
        <w:gridCol w:w="465"/>
        <w:gridCol w:w="1034"/>
        <w:gridCol w:w="1155"/>
        <w:gridCol w:w="1283"/>
        <w:gridCol w:w="838"/>
        <w:gridCol w:w="1211"/>
        <w:gridCol w:w="1261"/>
        <w:gridCol w:w="1079"/>
      </w:tblGrid>
      <w:tr>
        <w:tblPrEx>
          <w:shd w:val="clear" w:color="auto" w:fill="FFFFFF"/>
          <w:tblCellMar>
            <w:top w:w="0" w:type="dxa"/>
            <w:left w:w="0" w:type="dxa"/>
            <w:bottom w:w="0" w:type="dxa"/>
            <w:right w:w="0" w:type="dxa"/>
          </w:tblCellMar>
        </w:tblPrEx>
        <w:trPr>
          <w:trHeight w:val="735" w:hRule="atLeast"/>
        </w:trPr>
        <w:tc>
          <w:tcPr>
            <w:tcW w:w="4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115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12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规格型号</w:t>
            </w:r>
          </w:p>
        </w:tc>
        <w:tc>
          <w:tcPr>
            <w:tcW w:w="8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1211"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数量</w:t>
            </w:r>
          </w:p>
        </w:tc>
        <w:tc>
          <w:tcPr>
            <w:tcW w:w="1261"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单价</w:t>
            </w:r>
          </w:p>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（元）</w:t>
            </w:r>
          </w:p>
        </w:tc>
        <w:tc>
          <w:tcPr>
            <w:tcW w:w="1079" w:type="dxa"/>
            <w:tcBorders>
              <w:top w:val="single" w:color="auto" w:sz="8" w:space="0"/>
              <w:left w:val="single" w:color="auto" w:sz="4" w:space="0"/>
              <w:bottom w:val="single" w:color="auto" w:sz="8" w:space="0"/>
              <w:right w:val="single" w:color="auto" w:sz="8" w:space="0"/>
            </w:tcBorders>
            <w:shd w:val="clear" w:color="auto" w:fill="FFFFFF"/>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1</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2</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tblCellMar>
            <w:top w:w="0" w:type="dxa"/>
            <w:left w:w="0" w:type="dxa"/>
            <w:bottom w:w="0" w:type="dxa"/>
            <w:right w:w="0" w:type="dxa"/>
          </w:tblCellMar>
        </w:tblPrEx>
        <w:trPr>
          <w:trHeight w:val="768" w:hRule="atLeast"/>
        </w:trPr>
        <w:tc>
          <w:tcPr>
            <w:tcW w:w="7247"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成交总价（元）</w:t>
            </w:r>
          </w:p>
        </w:tc>
        <w:tc>
          <w:tcPr>
            <w:tcW w:w="1079" w:type="dxa"/>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b/>
          <w:color w:val="333333"/>
          <w:kern w:val="0"/>
          <w:sz w:val="24"/>
          <w:szCs w:val="24"/>
        </w:rPr>
        <w:t>6、如有多种规格，请按每种规格分别报价，产品的最终计算单价以不同规格报价的均价为准。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授权代表签字：</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r>
        <w:rPr>
          <w:rFonts w:hint="eastAsia" w:ascii="仿宋_GB2312" w:hAnsi="Segoe UI" w:eastAsia="仿宋_GB2312" w:cs="Segoe UI"/>
          <w:color w:val="333333"/>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附件6：</w:t>
      </w:r>
    </w:p>
    <w:p>
      <w:pPr>
        <w:pStyle w:val="2"/>
        <w:ind w:firstLine="2108" w:firstLineChars="750"/>
        <w:rPr>
          <w:rFonts w:ascii="仿宋_GB2312" w:hAnsi="Segoe UI" w:eastAsia="仿宋_GB2312" w:cs="Segoe UI"/>
          <w:b/>
          <w:bCs/>
          <w:color w:val="333333"/>
          <w:kern w:val="0"/>
          <w:sz w:val="28"/>
          <w:szCs w:val="28"/>
        </w:rPr>
      </w:pPr>
      <w:r>
        <w:rPr>
          <w:rFonts w:hint="eastAsia" w:ascii="仿宋_GB2312" w:hAnsi="Segoe UI" w:eastAsia="仿宋_GB2312" w:cs="Segoe UI"/>
          <w:b/>
          <w:bCs/>
          <w:color w:val="333333"/>
          <w:kern w:val="0"/>
          <w:sz w:val="28"/>
          <w:szCs w:val="28"/>
        </w:rPr>
        <w:t xml:space="preserve"> 无围标、串标行为承诺书</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1.不同供应商的投标文件由同一单位或者个人编制；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2.不同供应商委托同一单位或者个人办理投标事宜；</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3.不同供应商的投标文件载明的项目管理成员或者联系人员为同一人；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4.不同供应商的投标文件异常一致或者投标报价呈规律性差异；</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5.不同供应商的投标文件相互混装；</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6.不同供应商的投标保证金从同一单位或者个人的账户转出；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8.供应商之间事先约定由某一特定供应商中标、成交；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9.供应商之间商定部分供应商放弃参加采购活动或者放弃中标、成交；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10.法律法规界定的其他围标串标行为。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投标人法人代表或委托代理人（承诺人） ：</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 xml:space="preserve">投标人：（公章）  </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日期：   年    月    日</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Times New Roman" w:hAnsi="Times New Roman" w:eastAsia="方正小标宋简体" w:cs="Times New Roman"/>
          <w:color w:val="000000"/>
          <w:kern w:val="0"/>
          <w:sz w:val="44"/>
          <w:szCs w:val="44"/>
        </w:rPr>
      </w:pPr>
      <w:r>
        <w:rPr>
          <w:rFonts w:hint="eastAsia" w:ascii="微软雅黑" w:hAnsi="微软雅黑" w:eastAsia="微软雅黑" w:cs="Segoe UI"/>
          <w:bCs/>
          <w:color w:val="333333"/>
          <w:kern w:val="0"/>
          <w:sz w:val="28"/>
          <w:szCs w:val="28"/>
        </w:rPr>
        <w:t>附件7：</w:t>
      </w:r>
    </w:p>
    <w:p>
      <w:pPr>
        <w:widowControl/>
        <w:jc w:val="center"/>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t>供应商遵守招标采购纪律承诺书</w:t>
      </w:r>
    </w:p>
    <w:p>
      <w:pPr>
        <w:jc w:val="center"/>
        <w:rPr>
          <w:rFonts w:ascii="Times New Roman" w:hAnsi="Times New Roman" w:cs="Times New Roman"/>
          <w:color w:val="000000"/>
          <w:kern w:val="0"/>
          <w:sz w:val="28"/>
          <w:szCs w:val="28"/>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致四川省妇幼保健院：</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我单位作为本次采购项目的供应商，根据响应文件要求，现郑重承诺如下：</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三、参加本次采购活动，不得按照采购人的授意撤换、修改投标文件或者响应文件。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六、参加本次采购活动，不存在与其他供应商之间事先约定由某一特定供应商中标、成交。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七、参加本次采购活动，不存在与其他供应商商定部分供应商放弃参加采购活动或者放弃中标、成交。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十、与我方存在直接控股关系的单位为：</w:t>
      </w:r>
      <w:r>
        <w:rPr>
          <w:rFonts w:hint="eastAsia" w:ascii="仿宋_GB2312" w:hAnsi="Segoe UI" w:eastAsia="仿宋_GB2312" w:cs="Segoe UI"/>
          <w:color w:val="333333"/>
          <w:kern w:val="0"/>
          <w:sz w:val="24"/>
          <w:szCs w:val="24"/>
        </w:rPr>
        <w:t>_______________</w:t>
      </w:r>
      <w:r>
        <w:rPr>
          <w:rFonts w:ascii="仿宋_GB2312" w:hAnsi="Segoe UI" w:eastAsia="仿宋_GB2312" w:cs="Segoe UI"/>
          <w:color w:val="333333"/>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存在管理关系单位为：</w:t>
      </w:r>
      <w:r>
        <w:rPr>
          <w:rFonts w:hint="eastAsia" w:ascii="仿宋_GB2312" w:hAnsi="Segoe UI" w:eastAsia="仿宋_GB2312" w:cs="Segoe UI"/>
          <w:color w:val="333333"/>
          <w:kern w:val="0"/>
          <w:sz w:val="24"/>
          <w:szCs w:val="24"/>
        </w:rPr>
        <w:t>____________________________</w:t>
      </w:r>
      <w:r>
        <w:rPr>
          <w:rFonts w:ascii="仿宋_GB2312" w:hAnsi="Segoe UI" w:eastAsia="仿宋_GB2312" w:cs="Segoe UI"/>
          <w:color w:val="333333"/>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供应商名称（单位公章）：                 年    月   日      </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法定代表人/单位负责人或授权代表</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（签字或加盖个人名章）：        </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注：</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1.“负责人”是指单位法定代表人或者法律、行政法规规定代表单位行使职权的主要负责人。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3.“管理关系”是指与不具有出资持股关系的单位之间存在的其他管理与被管理关系。</w:t>
      </w: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75A5C"/>
    <w:multiLevelType w:val="singleLevel"/>
    <w:tmpl w:val="5C775A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1FA2"/>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2D6B"/>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1967"/>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60FE9"/>
    <w:rsid w:val="00F70970"/>
    <w:rsid w:val="00F721B2"/>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7684003"/>
    <w:rsid w:val="0809162A"/>
    <w:rsid w:val="08552EB3"/>
    <w:rsid w:val="09883DB3"/>
    <w:rsid w:val="0B7702C0"/>
    <w:rsid w:val="0B890D43"/>
    <w:rsid w:val="0C0A0390"/>
    <w:rsid w:val="0C69586C"/>
    <w:rsid w:val="0EB033E5"/>
    <w:rsid w:val="11910093"/>
    <w:rsid w:val="14677B2B"/>
    <w:rsid w:val="15B626DC"/>
    <w:rsid w:val="17E0197B"/>
    <w:rsid w:val="18472232"/>
    <w:rsid w:val="18B93B85"/>
    <w:rsid w:val="1A707F41"/>
    <w:rsid w:val="1DE05766"/>
    <w:rsid w:val="1E997E27"/>
    <w:rsid w:val="1F19224C"/>
    <w:rsid w:val="22827069"/>
    <w:rsid w:val="25933A00"/>
    <w:rsid w:val="272B37A3"/>
    <w:rsid w:val="27517D00"/>
    <w:rsid w:val="2D7F46F7"/>
    <w:rsid w:val="2DE5580E"/>
    <w:rsid w:val="2DEC7015"/>
    <w:rsid w:val="31FB7325"/>
    <w:rsid w:val="3459137F"/>
    <w:rsid w:val="351D2E6B"/>
    <w:rsid w:val="35E40AE0"/>
    <w:rsid w:val="36170E81"/>
    <w:rsid w:val="368F2498"/>
    <w:rsid w:val="395149AF"/>
    <w:rsid w:val="39CE1F6A"/>
    <w:rsid w:val="3DA970F6"/>
    <w:rsid w:val="3DE462AE"/>
    <w:rsid w:val="41096628"/>
    <w:rsid w:val="43800988"/>
    <w:rsid w:val="45C50E50"/>
    <w:rsid w:val="45FE0BC5"/>
    <w:rsid w:val="47A53522"/>
    <w:rsid w:val="49A664ED"/>
    <w:rsid w:val="4B671727"/>
    <w:rsid w:val="4C76008D"/>
    <w:rsid w:val="4F954CC0"/>
    <w:rsid w:val="502D72B4"/>
    <w:rsid w:val="59213BB4"/>
    <w:rsid w:val="5B1829CF"/>
    <w:rsid w:val="5F381B5D"/>
    <w:rsid w:val="60021495"/>
    <w:rsid w:val="622F0396"/>
    <w:rsid w:val="63D266D5"/>
    <w:rsid w:val="6CA02C6A"/>
    <w:rsid w:val="700B2FC9"/>
    <w:rsid w:val="734A410E"/>
    <w:rsid w:val="735C33F9"/>
    <w:rsid w:val="73C228BF"/>
    <w:rsid w:val="76451E51"/>
    <w:rsid w:val="77CF5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8"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8"/>
    <w:unhideWhenUsed/>
    <w:qFormat/>
    <w:uiPriority w:val="99"/>
    <w:pPr>
      <w:spacing w:after="120"/>
    </w:pPr>
    <w:rPr>
      <w:szCs w:val="24"/>
    </w:rPr>
  </w:style>
  <w:style w:type="paragraph" w:styleId="4">
    <w:name w:val="toc 7"/>
    <w:basedOn w:val="1"/>
    <w:next w:val="1"/>
    <w:qFormat/>
    <w:uiPriority w:val="0"/>
    <w:pPr>
      <w:ind w:left="1200"/>
    </w:pPr>
    <w:rPr>
      <w:rFonts w:ascii="Calibri"/>
    </w:rPr>
  </w:style>
  <w:style w:type="paragraph" w:styleId="5">
    <w:name w:val="Plain Text"/>
    <w:basedOn w:val="1"/>
    <w:qFormat/>
    <w:uiPriority w:val="0"/>
    <w:rPr>
      <w:rFonts w:ascii="宋体" w:hAnsi="Courier New" w:eastAsia="宋体" w:cs="Courier New"/>
      <w:szCs w:val="21"/>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qFormat/>
    <w:uiPriority w:val="98"/>
    <w:pPr>
      <w:spacing w:before="240" w:after="60"/>
      <w:jc w:val="center"/>
      <w:outlineLvl w:val="0"/>
    </w:pPr>
    <w:rPr>
      <w:rFonts w:ascii="等线 Light" w:hAnsi="等线 Light"/>
      <w:b/>
      <w:bCs/>
      <w:sz w:val="32"/>
      <w:szCs w:val="32"/>
    </w:rPr>
  </w:style>
  <w:style w:type="paragraph" w:styleId="10">
    <w:name w:val="Body Text First Indent"/>
    <w:basedOn w:val="2"/>
    <w:unhideWhenUsed/>
    <w:qFormat/>
    <w:uiPriority w:val="99"/>
    <w:pPr>
      <w:ind w:firstLine="420" w:firstLineChars="100"/>
    </w:p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4">
    <w:name w:val="Default"/>
    <w:basedOn w:val="9"/>
    <w:next w:val="3"/>
    <w:qFormat/>
    <w:uiPriority w:val="99"/>
    <w:pPr>
      <w:autoSpaceDE w:val="0"/>
      <w:autoSpaceDN w:val="0"/>
      <w:adjustRightInd w:val="0"/>
    </w:pPr>
    <w:rPr>
      <w:rFonts w:ascii="宋体" w:hAnsi="Times New Roman" w:cs="宋体"/>
      <w:color w:val="000000"/>
      <w:sz w:val="24"/>
      <w:szCs w:val="24"/>
    </w:rPr>
  </w:style>
  <w:style w:type="character" w:customStyle="1" w:styleId="15">
    <w:name w:val="页眉 字符"/>
    <w:basedOn w:val="13"/>
    <w:link w:val="7"/>
    <w:qFormat/>
    <w:uiPriority w:val="99"/>
    <w:rPr>
      <w:sz w:val="18"/>
      <w:szCs w:val="18"/>
    </w:rPr>
  </w:style>
  <w:style w:type="character" w:customStyle="1" w:styleId="16">
    <w:name w:val="页脚 字符"/>
    <w:basedOn w:val="13"/>
    <w:link w:val="6"/>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正文文本 字符"/>
    <w:basedOn w:val="13"/>
    <w:link w:val="2"/>
    <w:qFormat/>
    <w:uiPriority w:val="99"/>
    <w:rPr>
      <w:szCs w:val="24"/>
    </w:rPr>
  </w:style>
  <w:style w:type="paragraph" w:customStyle="1" w:styleId="19">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Template>
  <Pages>12</Pages>
  <Words>1227</Words>
  <Characters>6995</Characters>
  <Lines>58</Lines>
  <Paragraphs>16</Paragraphs>
  <TotalTime>0</TotalTime>
  <ScaleCrop>false</ScaleCrop>
  <LinksUpToDate>false</LinksUpToDate>
  <CharactersWithSpaces>8206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杨燕</cp:lastModifiedBy>
  <cp:lastPrinted>2024-07-31T00:40:00Z</cp:lastPrinted>
  <dcterms:modified xsi:type="dcterms:W3CDTF">2024-10-14T00:14:42Z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