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2"/>
        <w:gridCol w:w="150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36" w:type="pct"/>
            <w:vAlign w:val="center"/>
          </w:tcPr>
          <w:p>
            <w:pPr>
              <w:spacing w:line="360" w:lineRule="exact"/>
              <w:jc w:val="center"/>
              <w:rPr>
                <w:rFonts w:hint="eastAsia" w:ascii="宋体" w:hAnsi="宋体" w:eastAsia="宋体" w:cs="宋体"/>
              </w:rPr>
            </w:pPr>
            <w:r>
              <w:rPr>
                <w:rFonts w:hint="eastAsia" w:ascii="宋体" w:hAnsi="宋体" w:eastAsia="宋体" w:cs="宋体"/>
                <w:lang w:val="en-US" w:eastAsia="zh-CN"/>
              </w:rPr>
              <w:t>设备</w:t>
            </w:r>
            <w:r>
              <w:rPr>
                <w:rFonts w:hint="eastAsia" w:ascii="宋体" w:hAnsi="宋体" w:eastAsia="宋体" w:cs="宋体"/>
              </w:rPr>
              <w:t>名称</w:t>
            </w:r>
          </w:p>
        </w:tc>
        <w:tc>
          <w:tcPr>
            <w:tcW w:w="896" w:type="pct"/>
            <w:vAlign w:val="center"/>
          </w:tcPr>
          <w:p>
            <w:pPr>
              <w:spacing w:line="360" w:lineRule="exact"/>
              <w:jc w:val="center"/>
              <w:rPr>
                <w:rFonts w:hint="eastAsia" w:ascii="宋体" w:hAnsi="宋体" w:eastAsia="宋体" w:cs="宋体"/>
              </w:rPr>
            </w:pPr>
            <w:r>
              <w:rPr>
                <w:rFonts w:hint="eastAsia" w:ascii="宋体" w:hAnsi="宋体" w:eastAsia="宋体" w:cs="宋体"/>
              </w:rPr>
              <w:t>数量</w:t>
            </w:r>
          </w:p>
        </w:tc>
        <w:tc>
          <w:tcPr>
            <w:tcW w:w="1167" w:type="pct"/>
            <w:vAlign w:val="center"/>
          </w:tcPr>
          <w:p>
            <w:pPr>
              <w:spacing w:line="360" w:lineRule="exact"/>
              <w:jc w:val="center"/>
              <w:rPr>
                <w:rFonts w:hint="eastAsia" w:ascii="宋体" w:hAnsi="宋体" w:eastAsia="宋体" w:cs="宋体"/>
              </w:rPr>
            </w:pPr>
            <w:r>
              <w:rPr>
                <w:rFonts w:hint="eastAsia" w:ascii="宋体" w:hAnsi="宋体" w:eastAsia="宋体" w:cs="宋体"/>
              </w:rPr>
              <w:t>最高限价</w:t>
            </w:r>
          </w:p>
          <w:p>
            <w:pPr>
              <w:spacing w:line="360" w:lineRule="exact"/>
              <w:jc w:val="center"/>
              <w:rPr>
                <w:rFonts w:hint="eastAsia" w:ascii="宋体" w:hAnsi="宋体" w:eastAsia="宋体" w:cs="宋体"/>
              </w:rPr>
            </w:pPr>
            <w:r>
              <w:rPr>
                <w:rFonts w:hint="eastAsia" w:ascii="宋体" w:hAnsi="宋体" w:eastAsia="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6" w:type="pct"/>
            <w:vAlign w:val="center"/>
          </w:tcPr>
          <w:p>
            <w:pPr>
              <w:spacing w:line="360" w:lineRule="exact"/>
              <w:jc w:val="center"/>
              <w:rPr>
                <w:rFonts w:hint="eastAsia" w:ascii="宋体" w:hAnsi="宋体" w:eastAsia="宋体" w:cs="宋体"/>
              </w:rPr>
            </w:pPr>
            <w:r>
              <w:rPr>
                <w:rFonts w:hint="eastAsia" w:ascii="宋体" w:hAnsi="宋体" w:eastAsia="宋体" w:cs="宋体"/>
                <w:bCs/>
                <w:lang w:val="en-US" w:eastAsia="zh-CN"/>
              </w:rPr>
              <w:t>高频电刀（宫颈LEEP刀）</w:t>
            </w:r>
          </w:p>
        </w:tc>
        <w:tc>
          <w:tcPr>
            <w:tcW w:w="896" w:type="pct"/>
            <w:vAlign w:val="center"/>
          </w:tcPr>
          <w:p>
            <w:pPr>
              <w:widowControl/>
              <w:spacing w:line="600" w:lineRule="exact"/>
              <w:jc w:val="center"/>
              <w:rPr>
                <w:rFonts w:hint="default" w:ascii="宋体" w:hAnsi="宋体" w:eastAsia="宋体" w:cs="宋体"/>
                <w:lang w:val="en-US"/>
              </w:rPr>
            </w:pPr>
            <w:r>
              <w:rPr>
                <w:rFonts w:hint="eastAsia" w:ascii="Times New Roman" w:hAnsi="Times New Roman" w:eastAsia="宋体" w:cs="Times New Roman"/>
                <w:lang w:val="en-US" w:eastAsia="zh-CN"/>
              </w:rPr>
              <w:t>1台</w:t>
            </w:r>
          </w:p>
        </w:tc>
        <w:tc>
          <w:tcPr>
            <w:tcW w:w="1167" w:type="pct"/>
            <w:vMerge w:val="restart"/>
            <w:vAlign w:val="center"/>
          </w:tcPr>
          <w:p>
            <w:pPr>
              <w:spacing w:line="360" w:lineRule="exact"/>
              <w:jc w:val="center"/>
              <w:rPr>
                <w:rFonts w:hint="default" w:ascii="宋体" w:hAnsi="宋体" w:eastAsia="宋体" w:cs="宋体"/>
                <w:lang w:val="en-US" w:eastAsia="zh-CN"/>
              </w:rPr>
            </w:pPr>
            <w:r>
              <w:rPr>
                <w:rFonts w:hint="eastAsia" w:ascii="宋体" w:hAnsi="宋体"/>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6" w:type="pct"/>
            <w:vAlign w:val="center"/>
          </w:tcPr>
          <w:p>
            <w:pPr>
              <w:spacing w:line="360" w:lineRule="exact"/>
              <w:jc w:val="center"/>
              <w:rPr>
                <w:rFonts w:hint="eastAsia" w:ascii="宋体" w:hAnsi="宋体" w:eastAsia="宋体" w:cs="宋体"/>
              </w:rPr>
            </w:pPr>
            <w:r>
              <w:rPr>
                <w:rFonts w:hint="eastAsia" w:ascii="宋体" w:hAnsi="宋体" w:eastAsia="宋体" w:cs="宋体"/>
                <w:bCs/>
                <w:lang w:val="en-US" w:eastAsia="zh-CN"/>
              </w:rPr>
              <w:t>阴道镜检查床</w:t>
            </w:r>
          </w:p>
        </w:tc>
        <w:tc>
          <w:tcPr>
            <w:tcW w:w="896" w:type="pct"/>
            <w:vAlign w:val="center"/>
          </w:tcPr>
          <w:p>
            <w:pPr>
              <w:widowControl/>
              <w:spacing w:line="600" w:lineRule="exact"/>
              <w:jc w:val="center"/>
              <w:rPr>
                <w:rFonts w:hint="eastAsia" w:ascii="宋体" w:hAnsi="宋体" w:eastAsia="宋体" w:cs="宋体"/>
                <w:lang w:val="en-US" w:eastAsia="zh-CN"/>
              </w:rPr>
            </w:pPr>
            <w:r>
              <w:rPr>
                <w:rFonts w:hint="eastAsia" w:ascii="Times New Roman" w:hAnsi="Times New Roman" w:eastAsia="宋体" w:cs="Times New Roman"/>
                <w:lang w:val="en-US" w:eastAsia="zh-CN"/>
              </w:rPr>
              <w:t>1台</w:t>
            </w:r>
          </w:p>
        </w:tc>
        <w:tc>
          <w:tcPr>
            <w:tcW w:w="1167" w:type="pct"/>
            <w:vMerge w:val="continue"/>
            <w:vAlign w:val="center"/>
          </w:tcPr>
          <w:p>
            <w:pPr>
              <w:spacing w:line="360" w:lineRule="exact"/>
              <w:jc w:val="center"/>
              <w:rPr>
                <w:rFonts w:hint="eastAsia" w:ascii="宋体" w:hAnsi="宋体" w:eastAsia="宋体" w:cs="宋体"/>
                <w:lang w:val="en-US" w:eastAsia="zh-CN"/>
              </w:rPr>
            </w:pPr>
          </w:p>
        </w:tc>
      </w:tr>
    </w:tbl>
    <w:p>
      <w:pPr>
        <w:pStyle w:val="14"/>
        <w:jc w:val="both"/>
      </w:pPr>
    </w:p>
    <w:p>
      <w:pPr>
        <w:spacing w:line="360" w:lineRule="exact"/>
        <w:jc w:val="left"/>
        <w:rPr>
          <w:b/>
          <w:bCs/>
        </w:rPr>
      </w:pPr>
      <w:r>
        <w:rPr>
          <w:rFonts w:hint="eastAsia"/>
          <w:b/>
          <w:bCs/>
        </w:rPr>
        <w:t>二、技术要求：</w:t>
      </w:r>
    </w:p>
    <w:p>
      <w:pPr>
        <w:pStyle w:val="5"/>
        <w:numPr>
          <w:ilvl w:val="0"/>
          <w:numId w:val="1"/>
        </w:numPr>
        <w:spacing w:line="42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高频电刀</w:t>
      </w:r>
    </w:p>
    <w:p>
      <w:pPr>
        <w:pStyle w:val="17"/>
        <w:numPr>
          <w:ilvl w:val="0"/>
          <w:numId w:val="0"/>
        </w:numPr>
        <w:jc w:val="left"/>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▲适用于妇科宫颈LEEP手术过程中的病变组织的切割与凝固。</w:t>
      </w:r>
    </w:p>
    <w:p>
      <w:pPr>
        <w:pStyle w:val="17"/>
        <w:numPr>
          <w:ilvl w:val="0"/>
          <w:numId w:val="0"/>
        </w:numPr>
        <w:jc w:val="left"/>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主机</w:t>
      </w:r>
      <w:r>
        <w:rPr>
          <w:rFonts w:hint="eastAsia" w:ascii="宋体" w:hAnsi="宋体" w:cs="宋体"/>
          <w:bCs/>
          <w:kern w:val="2"/>
          <w:sz w:val="21"/>
          <w:szCs w:val="21"/>
          <w:lang w:val="en-US" w:eastAsia="zh-CN" w:bidi="ar-SA"/>
        </w:rPr>
        <w:t>可与</w:t>
      </w:r>
      <w:r>
        <w:rPr>
          <w:rFonts w:hint="eastAsia" w:ascii="宋体" w:hAnsi="宋体" w:eastAsia="宋体" w:cs="宋体"/>
          <w:bCs/>
          <w:kern w:val="2"/>
          <w:sz w:val="21"/>
          <w:szCs w:val="21"/>
          <w:lang w:val="en-US" w:eastAsia="zh-CN" w:bidi="ar-SA"/>
        </w:rPr>
        <w:t>同一品牌LEEP手术电极</w:t>
      </w:r>
      <w:r>
        <w:rPr>
          <w:rFonts w:hint="eastAsia" w:ascii="宋体" w:hAnsi="宋体" w:cs="宋体"/>
          <w:bCs/>
          <w:kern w:val="2"/>
          <w:sz w:val="21"/>
          <w:szCs w:val="21"/>
          <w:lang w:val="en-US" w:eastAsia="zh-CN" w:bidi="ar-SA"/>
        </w:rPr>
        <w:t>配套使用</w:t>
      </w:r>
      <w:r>
        <w:rPr>
          <w:rFonts w:hint="eastAsia" w:ascii="宋体" w:hAnsi="宋体" w:eastAsia="宋体" w:cs="宋体"/>
          <w:bCs/>
          <w:kern w:val="2"/>
          <w:sz w:val="21"/>
          <w:szCs w:val="21"/>
          <w:lang w:val="en-US" w:eastAsia="zh-CN" w:bidi="ar-SA"/>
        </w:rPr>
        <w:t>。</w:t>
      </w:r>
    </w:p>
    <w:p>
      <w:pPr>
        <w:pStyle w:val="17"/>
        <w:numPr>
          <w:ilvl w:val="0"/>
          <w:numId w:val="0"/>
        </w:numPr>
        <w:jc w:val="left"/>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3.</w:t>
      </w:r>
      <w:r>
        <w:rPr>
          <w:rFonts w:hint="eastAsia" w:ascii="宋体" w:hAnsi="宋体" w:eastAsia="宋体" w:cs="宋体"/>
          <w:bCs/>
          <w:kern w:val="2"/>
          <w:sz w:val="21"/>
          <w:szCs w:val="21"/>
          <w:lang w:val="en-US" w:eastAsia="zh-CN" w:bidi="ar-SA"/>
        </w:rPr>
        <w:t>输出频率≥400KHz</w:t>
      </w:r>
      <w:r>
        <w:rPr>
          <w:rFonts w:hint="eastAsia" w:ascii="宋体" w:hAnsi="宋体" w:cs="宋体"/>
          <w:bCs/>
          <w:kern w:val="2"/>
          <w:sz w:val="21"/>
          <w:szCs w:val="21"/>
          <w:lang w:val="en-US" w:eastAsia="zh-CN" w:bidi="ar-SA"/>
        </w:rPr>
        <w:t>。</w:t>
      </w:r>
    </w:p>
    <w:p>
      <w:pPr>
        <w:pStyle w:val="17"/>
        <w:numPr>
          <w:ilvl w:val="0"/>
          <w:numId w:val="0"/>
        </w:numPr>
        <w:jc w:val="left"/>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4.</w:t>
      </w:r>
      <w:r>
        <w:rPr>
          <w:rFonts w:hint="eastAsia" w:ascii="宋体" w:hAnsi="宋体" w:eastAsia="宋体" w:cs="宋体"/>
          <w:bCs/>
          <w:kern w:val="2"/>
          <w:sz w:val="21"/>
          <w:szCs w:val="21"/>
          <w:lang w:val="en-US" w:eastAsia="zh-CN" w:bidi="ar-SA"/>
        </w:rPr>
        <w:t>工作模式</w:t>
      </w:r>
      <w:r>
        <w:rPr>
          <w:rFonts w:hint="eastAsia" w:ascii="宋体" w:hAnsi="宋体" w:eastAsia="宋体" w:cs="宋体"/>
          <w:bCs/>
          <w:color w:val="auto"/>
          <w:kern w:val="2"/>
          <w:sz w:val="21"/>
          <w:szCs w:val="21"/>
          <w:lang w:val="en-US" w:eastAsia="zh-CN" w:bidi="ar-SA"/>
        </w:rPr>
        <w:t>≥</w:t>
      </w:r>
      <w:r>
        <w:rPr>
          <w:rFonts w:hint="eastAsia" w:ascii="宋体" w:hAnsi="宋体" w:cs="宋体"/>
          <w:bCs/>
          <w:color w:val="auto"/>
          <w:kern w:val="2"/>
          <w:sz w:val="21"/>
          <w:szCs w:val="21"/>
          <w:lang w:val="en-US" w:eastAsia="zh-CN" w:bidi="ar-SA"/>
        </w:rPr>
        <w:t>6</w:t>
      </w:r>
      <w:r>
        <w:rPr>
          <w:rFonts w:hint="eastAsia" w:ascii="宋体" w:hAnsi="宋体" w:eastAsia="宋体" w:cs="宋体"/>
          <w:bCs/>
          <w:kern w:val="2"/>
          <w:sz w:val="21"/>
          <w:szCs w:val="21"/>
          <w:lang w:val="en-US" w:eastAsia="zh-CN" w:bidi="ar-SA"/>
        </w:rPr>
        <w:t>种</w:t>
      </w:r>
      <w:r>
        <w:rPr>
          <w:rFonts w:hint="eastAsia" w:ascii="宋体" w:hAnsi="宋体" w:cs="宋体"/>
          <w:bCs/>
          <w:kern w:val="2"/>
          <w:sz w:val="21"/>
          <w:szCs w:val="21"/>
          <w:lang w:val="en-US" w:eastAsia="zh-CN" w:bidi="ar-SA"/>
        </w:rPr>
        <w:t>，其中电切工</w:t>
      </w:r>
      <w:r>
        <w:rPr>
          <w:rFonts w:hint="eastAsia" w:ascii="宋体" w:hAnsi="宋体" w:eastAsia="宋体" w:cs="宋体"/>
          <w:bCs/>
          <w:kern w:val="2"/>
          <w:sz w:val="21"/>
          <w:szCs w:val="21"/>
          <w:lang w:val="en-US" w:eastAsia="zh-CN" w:bidi="ar-SA"/>
        </w:rPr>
        <w:t>作模式≥3种、电凝工作模式</w:t>
      </w:r>
      <w:r>
        <w:rPr>
          <w:rFonts w:hint="eastAsia" w:ascii="宋体" w:hAnsi="宋体" w:eastAsia="宋体" w:cs="宋体"/>
          <w:bCs/>
          <w:color w:val="auto"/>
          <w:kern w:val="2"/>
          <w:sz w:val="21"/>
          <w:szCs w:val="21"/>
          <w:lang w:val="en-US" w:eastAsia="zh-CN" w:bidi="ar-SA"/>
        </w:rPr>
        <w:t>≥</w:t>
      </w:r>
      <w:r>
        <w:rPr>
          <w:rFonts w:hint="eastAsia" w:ascii="宋体" w:hAnsi="宋体" w:cs="宋体"/>
          <w:bCs/>
          <w:color w:val="auto"/>
          <w:kern w:val="2"/>
          <w:sz w:val="21"/>
          <w:szCs w:val="21"/>
          <w:lang w:val="en-US" w:eastAsia="zh-CN" w:bidi="ar-SA"/>
        </w:rPr>
        <w:t>2</w:t>
      </w:r>
      <w:r>
        <w:rPr>
          <w:rFonts w:hint="eastAsia" w:ascii="宋体" w:hAnsi="宋体" w:eastAsia="宋体" w:cs="宋体"/>
          <w:bCs/>
          <w:kern w:val="2"/>
          <w:sz w:val="21"/>
          <w:szCs w:val="21"/>
          <w:lang w:val="en-US" w:eastAsia="zh-CN" w:bidi="ar-SA"/>
        </w:rPr>
        <w:t>种。</w:t>
      </w:r>
    </w:p>
    <w:p>
      <w:pPr>
        <w:pStyle w:val="17"/>
        <w:numPr>
          <w:ilvl w:val="0"/>
          <w:numId w:val="0"/>
        </w:numPr>
        <w:jc w:val="left"/>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5.</w:t>
      </w:r>
      <w:r>
        <w:rPr>
          <w:rFonts w:hint="eastAsia" w:ascii="宋体" w:hAnsi="宋体" w:eastAsia="宋体" w:cs="宋体"/>
          <w:bCs/>
          <w:kern w:val="2"/>
          <w:sz w:val="21"/>
          <w:szCs w:val="21"/>
          <w:lang w:val="en-US" w:eastAsia="zh-CN" w:bidi="ar-SA"/>
        </w:rPr>
        <w:t>▲输出功率单极≥</w:t>
      </w:r>
      <w:r>
        <w:rPr>
          <w:rFonts w:hint="eastAsia" w:ascii="宋体" w:hAnsi="宋体" w:cs="宋体"/>
          <w:bCs/>
          <w:kern w:val="2"/>
          <w:sz w:val="21"/>
          <w:szCs w:val="21"/>
          <w:lang w:val="en-US" w:eastAsia="zh-CN" w:bidi="ar-SA"/>
        </w:rPr>
        <w:t>3</w:t>
      </w:r>
      <w:r>
        <w:rPr>
          <w:rFonts w:hint="eastAsia" w:ascii="宋体" w:hAnsi="宋体" w:eastAsia="宋体" w:cs="宋体"/>
          <w:bCs/>
          <w:kern w:val="2"/>
          <w:sz w:val="21"/>
          <w:szCs w:val="21"/>
          <w:lang w:val="en-US" w:eastAsia="zh-CN" w:bidi="ar-SA"/>
        </w:rPr>
        <w:t>00W，双极≥100W</w:t>
      </w:r>
      <w:r>
        <w:rPr>
          <w:rFonts w:hint="eastAsia" w:ascii="宋体" w:hAnsi="宋体" w:cs="宋体"/>
          <w:bCs/>
          <w:kern w:val="2"/>
          <w:sz w:val="21"/>
          <w:szCs w:val="21"/>
          <w:lang w:val="en-US" w:eastAsia="zh-CN" w:bidi="ar-SA"/>
        </w:rPr>
        <w:t>。</w:t>
      </w:r>
    </w:p>
    <w:p>
      <w:pPr>
        <w:pStyle w:val="17"/>
        <w:numPr>
          <w:ilvl w:val="0"/>
          <w:numId w:val="0"/>
        </w:numPr>
        <w:jc w:val="left"/>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6.</w:t>
      </w:r>
      <w:r>
        <w:rPr>
          <w:rFonts w:hint="eastAsia" w:ascii="宋体" w:hAnsi="宋体" w:eastAsia="宋体" w:cs="宋体"/>
          <w:bCs/>
          <w:kern w:val="2"/>
          <w:sz w:val="21"/>
          <w:szCs w:val="21"/>
          <w:lang w:val="en-US" w:eastAsia="zh-CN" w:bidi="ar-SA"/>
        </w:rPr>
        <w:t>▲</w:t>
      </w:r>
      <w:r>
        <w:rPr>
          <w:rFonts w:hint="eastAsia" w:ascii="宋体" w:hAnsi="宋体" w:eastAsia="宋体" w:cs="宋体"/>
          <w:bCs/>
          <w:color w:val="auto"/>
          <w:kern w:val="2"/>
          <w:sz w:val="21"/>
          <w:szCs w:val="21"/>
          <w:lang w:val="en-US" w:eastAsia="zh-CN" w:bidi="ar-SA"/>
        </w:rPr>
        <w:t>输出电压≥</w:t>
      </w:r>
      <w:r>
        <w:rPr>
          <w:rFonts w:hint="eastAsia" w:ascii="宋体" w:hAnsi="宋体" w:cs="宋体"/>
          <w:bCs/>
          <w:color w:val="auto"/>
          <w:kern w:val="2"/>
          <w:sz w:val="21"/>
          <w:szCs w:val="21"/>
          <w:lang w:val="en-US" w:eastAsia="zh-CN" w:bidi="ar-SA"/>
        </w:rPr>
        <w:t>30</w:t>
      </w:r>
      <w:r>
        <w:rPr>
          <w:rFonts w:hint="eastAsia" w:ascii="宋体" w:hAnsi="宋体" w:eastAsia="宋体" w:cs="宋体"/>
          <w:bCs/>
          <w:color w:val="auto"/>
          <w:kern w:val="2"/>
          <w:sz w:val="21"/>
          <w:szCs w:val="21"/>
          <w:lang w:val="en-US" w:eastAsia="zh-CN" w:bidi="ar-SA"/>
        </w:rPr>
        <w:t>00V</w:t>
      </w:r>
      <w:r>
        <w:rPr>
          <w:rFonts w:hint="eastAsia" w:ascii="宋体" w:hAnsi="宋体" w:cs="宋体"/>
          <w:bCs/>
          <w:kern w:val="2"/>
          <w:sz w:val="21"/>
          <w:szCs w:val="21"/>
          <w:lang w:val="en-US" w:eastAsia="zh-CN" w:bidi="ar-SA"/>
        </w:rPr>
        <w:t>。</w:t>
      </w:r>
    </w:p>
    <w:p>
      <w:pPr>
        <w:pStyle w:val="17"/>
        <w:numPr>
          <w:ilvl w:val="0"/>
          <w:numId w:val="0"/>
        </w:numPr>
        <w:jc w:val="left"/>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7.</w:t>
      </w:r>
      <w:r>
        <w:rPr>
          <w:rFonts w:hint="eastAsia" w:ascii="宋体" w:hAnsi="宋体" w:eastAsia="宋体" w:cs="宋体"/>
          <w:bCs/>
          <w:kern w:val="2"/>
          <w:sz w:val="21"/>
          <w:szCs w:val="21"/>
          <w:lang w:val="en-US" w:eastAsia="zh-CN" w:bidi="ar-SA"/>
        </w:rPr>
        <w:t>峰值系数≥6</w:t>
      </w:r>
      <w:r>
        <w:rPr>
          <w:rFonts w:hint="eastAsia" w:ascii="宋体" w:hAnsi="宋体" w:cs="宋体"/>
          <w:bCs/>
          <w:kern w:val="2"/>
          <w:sz w:val="21"/>
          <w:szCs w:val="21"/>
          <w:lang w:val="en-US" w:eastAsia="zh-CN" w:bidi="ar-SA"/>
        </w:rPr>
        <w:t>。</w:t>
      </w:r>
    </w:p>
    <w:p>
      <w:pPr>
        <w:pStyle w:val="17"/>
        <w:numPr>
          <w:ilvl w:val="0"/>
          <w:numId w:val="0"/>
        </w:numPr>
        <w:jc w:val="left"/>
        <w:rPr>
          <w:rFonts w:hint="eastAsia" w:ascii="宋体" w:hAnsi="宋体" w:eastAsia="宋体" w:cs="宋体"/>
          <w:bCs/>
          <w:color w:val="FF0000"/>
          <w:kern w:val="2"/>
          <w:sz w:val="21"/>
          <w:szCs w:val="21"/>
          <w:highlight w:val="yellow"/>
          <w:lang w:val="en-US" w:eastAsia="zh-CN" w:bidi="ar-SA"/>
        </w:rPr>
      </w:pPr>
      <w:r>
        <w:rPr>
          <w:rFonts w:hint="eastAsia" w:ascii="宋体" w:hAnsi="宋体" w:cs="宋体"/>
          <w:bCs/>
          <w:color w:val="auto"/>
          <w:kern w:val="2"/>
          <w:sz w:val="21"/>
          <w:szCs w:val="21"/>
          <w:lang w:val="en-US" w:eastAsia="zh-CN" w:bidi="ar-SA"/>
        </w:rPr>
        <w:t>8.</w:t>
      </w:r>
      <w:r>
        <w:rPr>
          <w:rFonts w:hint="eastAsia" w:ascii="宋体" w:hAnsi="宋体" w:eastAsia="宋体" w:cs="宋体"/>
          <w:bCs/>
          <w:color w:val="auto"/>
          <w:kern w:val="2"/>
          <w:sz w:val="21"/>
          <w:szCs w:val="21"/>
          <w:lang w:val="en-US" w:eastAsia="zh-CN" w:bidi="ar-SA"/>
        </w:rPr>
        <w:t>自动监测极板与病人皮肤的接触质量以排灯形式显示，若接触质量高于设定值，会有报警</w:t>
      </w:r>
      <w:r>
        <w:rPr>
          <w:rFonts w:hint="eastAsia" w:ascii="宋体" w:hAnsi="宋体" w:cs="宋体"/>
          <w:bCs/>
          <w:color w:val="auto"/>
          <w:kern w:val="2"/>
          <w:sz w:val="21"/>
          <w:szCs w:val="21"/>
          <w:lang w:val="en-US" w:eastAsia="zh-CN" w:bidi="ar-SA"/>
        </w:rPr>
        <w:t>提示，</w:t>
      </w:r>
      <w:r>
        <w:rPr>
          <w:rFonts w:hint="eastAsia" w:ascii="宋体" w:hAnsi="宋体" w:eastAsia="宋体" w:cs="宋体"/>
          <w:bCs/>
          <w:color w:val="auto"/>
          <w:kern w:val="2"/>
          <w:sz w:val="21"/>
          <w:szCs w:val="21"/>
          <w:lang w:val="en-US" w:eastAsia="zh-CN" w:bidi="ar-SA"/>
        </w:rPr>
        <w:t>并</w:t>
      </w:r>
      <w:r>
        <w:rPr>
          <w:rFonts w:hint="eastAsia" w:ascii="宋体" w:hAnsi="宋体" w:cs="宋体"/>
          <w:bCs/>
          <w:color w:val="auto"/>
          <w:kern w:val="2"/>
          <w:sz w:val="21"/>
          <w:szCs w:val="21"/>
          <w:lang w:val="en-US" w:eastAsia="zh-CN" w:bidi="ar-SA"/>
        </w:rPr>
        <w:t>具有</w:t>
      </w:r>
      <w:r>
        <w:rPr>
          <w:rFonts w:hint="eastAsia" w:ascii="宋体" w:hAnsi="宋体" w:eastAsia="宋体" w:cs="宋体"/>
          <w:bCs/>
          <w:color w:val="auto"/>
          <w:kern w:val="2"/>
          <w:sz w:val="21"/>
          <w:szCs w:val="21"/>
          <w:lang w:val="en-US" w:eastAsia="zh-CN" w:bidi="ar-SA"/>
        </w:rPr>
        <w:t>切断设备输出，确保安全。</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9.手术过程支持单极、双极模式转换。</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10.脚踏开关防水等级≥ IPX8。</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11.配备LEEP手术电极类型≥12种。</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12.▲具备手术烟雾吸收净化功能。</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13.吸烟器输出功率≥900W。</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14.吸烟器额定风量：≥950L/min。</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15.吸烟器噪音水平低功率工作时≤45db，最高功率工作时≤70db。</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16.过滤器：可过滤≥0.012微米的颗粒物，有效滤除率≥99.999%。</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17.吸烟工作方式≥2种。</w:t>
      </w:r>
    </w:p>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18.接口适用性：支持≥3种设备同时使用，连接接口直径至少包含6mm、10mm、22mm，方便连接不用口径吸烟管路。</w:t>
      </w:r>
    </w:p>
    <w:p>
      <w:pPr>
        <w:jc w:val="left"/>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auto"/>
          <w:kern w:val="2"/>
          <w:sz w:val="21"/>
          <w:szCs w:val="21"/>
          <w:lang w:val="en-US" w:eastAsia="zh-CN" w:bidi="ar-SA"/>
        </w:rPr>
        <w:t>20.采用外置过滤器，主过滤的滤芯连续使用≥35个小时。</w:t>
      </w:r>
    </w:p>
    <w:p>
      <w:pPr>
        <w:pStyle w:val="5"/>
        <w:numPr>
          <w:ilvl w:val="0"/>
          <w:numId w:val="0"/>
        </w:numPr>
        <w:spacing w:line="420" w:lineRule="exact"/>
        <w:rPr>
          <w:rFonts w:hint="eastAsia" w:ascii="宋体" w:hAnsi="宋体" w:eastAsia="宋体" w:cs="宋体"/>
          <w:bCs/>
          <w:kern w:val="2"/>
          <w:sz w:val="21"/>
          <w:szCs w:val="21"/>
          <w:lang w:val="en-US" w:eastAsia="zh-CN" w:bidi="ar-SA"/>
        </w:rPr>
      </w:pPr>
      <w:r>
        <w:rPr>
          <w:rFonts w:hint="eastAsia" w:hAnsi="宋体" w:eastAsia="宋体" w:cs="宋体"/>
          <w:bCs/>
          <w:kern w:val="2"/>
          <w:sz w:val="21"/>
          <w:szCs w:val="21"/>
          <w:lang w:val="en-US" w:eastAsia="zh-CN" w:bidi="ar-SA"/>
        </w:rPr>
        <w:t>21.</w:t>
      </w:r>
      <w:r>
        <w:rPr>
          <w:rFonts w:hint="eastAsia" w:ascii="宋体" w:hAnsi="宋体"/>
          <w:sz w:val="21"/>
          <w:szCs w:val="21"/>
        </w:rPr>
        <w:t>★</w:t>
      </w:r>
      <w:r>
        <w:rPr>
          <w:rFonts w:hint="eastAsia" w:hAnsi="宋体" w:eastAsia="宋体" w:cs="宋体"/>
          <w:bCs/>
          <w:kern w:val="2"/>
          <w:sz w:val="21"/>
          <w:szCs w:val="21"/>
          <w:lang w:val="en-US" w:eastAsia="zh-CN" w:bidi="ar-SA"/>
        </w:rPr>
        <w:t>配置清单：主机1台、</w:t>
      </w:r>
      <w:r>
        <w:rPr>
          <w:rFonts w:hint="eastAsia" w:ascii="宋体" w:hAnsi="宋体" w:eastAsia="宋体" w:cs="宋体"/>
          <w:bCs/>
          <w:kern w:val="2"/>
          <w:sz w:val="21"/>
          <w:szCs w:val="21"/>
          <w:lang w:val="en-US" w:eastAsia="zh-CN" w:bidi="ar-SA"/>
        </w:rPr>
        <w:t>手术台车</w:t>
      </w:r>
      <w:r>
        <w:rPr>
          <w:rFonts w:hint="eastAsia" w:hAnsi="宋体" w:eastAsia="宋体" w:cs="宋体"/>
          <w:bCs/>
          <w:kern w:val="2"/>
          <w:sz w:val="21"/>
          <w:szCs w:val="21"/>
          <w:lang w:val="en-US" w:eastAsia="zh-CN" w:bidi="ar-SA"/>
        </w:rPr>
        <w:t>1个、</w:t>
      </w:r>
      <w:r>
        <w:rPr>
          <w:rFonts w:hint="eastAsia" w:ascii="宋体" w:hAnsi="宋体" w:eastAsia="宋体" w:cs="宋体"/>
          <w:bCs/>
          <w:kern w:val="2"/>
          <w:sz w:val="21"/>
          <w:szCs w:val="21"/>
          <w:lang w:val="en-US" w:eastAsia="zh-CN" w:bidi="ar-SA"/>
        </w:rPr>
        <w:t>LEEP手术绝缘窥</w:t>
      </w:r>
      <w:r>
        <w:rPr>
          <w:rFonts w:hint="eastAsia" w:hAnsi="宋体" w:eastAsia="宋体" w:cs="宋体"/>
          <w:bCs/>
          <w:kern w:val="2"/>
          <w:sz w:val="21"/>
          <w:szCs w:val="21"/>
          <w:lang w:val="en-US" w:eastAsia="zh-CN" w:bidi="ar-SA"/>
        </w:rPr>
        <w:t>阴</w:t>
      </w:r>
      <w:r>
        <w:rPr>
          <w:rFonts w:hint="eastAsia" w:ascii="宋体" w:hAnsi="宋体" w:eastAsia="宋体" w:cs="宋体"/>
          <w:bCs/>
          <w:kern w:val="2"/>
          <w:sz w:val="21"/>
          <w:szCs w:val="21"/>
          <w:lang w:val="en-US" w:eastAsia="zh-CN" w:bidi="ar-SA"/>
        </w:rPr>
        <w:t>器</w:t>
      </w:r>
      <w:r>
        <w:rPr>
          <w:rFonts w:hint="eastAsia" w:hAnsi="宋体" w:eastAsia="宋体" w:cs="宋体"/>
          <w:bCs/>
          <w:kern w:val="2"/>
          <w:sz w:val="21"/>
          <w:szCs w:val="21"/>
          <w:lang w:val="en-US" w:eastAsia="zh-CN" w:bidi="ar-SA"/>
        </w:rPr>
        <w:t>1个。</w:t>
      </w:r>
    </w:p>
    <w:p>
      <w:pPr>
        <w:pStyle w:val="5"/>
        <w:numPr>
          <w:ilvl w:val="0"/>
          <w:numId w:val="0"/>
        </w:numPr>
        <w:spacing w:line="420" w:lineRule="exact"/>
        <w:ind w:leftChars="0"/>
        <w:rPr>
          <w:rFonts w:hint="eastAsia" w:ascii="宋体" w:hAnsi="宋体" w:eastAsia="宋体" w:cs="宋体"/>
          <w:bCs/>
          <w:sz w:val="21"/>
          <w:szCs w:val="21"/>
          <w:lang w:val="en-US" w:eastAsia="zh-CN"/>
        </w:rPr>
      </w:pPr>
      <w:r>
        <w:rPr>
          <w:rFonts w:hint="eastAsia" w:hAnsi="宋体" w:cs="宋体"/>
          <w:b/>
          <w:bCs w:val="0"/>
          <w:sz w:val="21"/>
          <w:szCs w:val="21"/>
          <w:lang w:val="en-US" w:eastAsia="zh-CN"/>
        </w:rPr>
        <w:t>二</w:t>
      </w:r>
      <w:r>
        <w:rPr>
          <w:rFonts w:hint="eastAsia" w:hAnsi="宋体" w:cs="宋体"/>
          <w:b/>
          <w:bCs w:val="0"/>
          <w:sz w:val="21"/>
          <w:szCs w:val="21"/>
        </w:rPr>
        <w:t>、</w:t>
      </w:r>
      <w:r>
        <w:rPr>
          <w:rFonts w:hint="eastAsia" w:ascii="宋体" w:hAnsi="宋体" w:eastAsia="宋体" w:cs="宋体"/>
          <w:bCs/>
          <w:sz w:val="21"/>
          <w:szCs w:val="21"/>
          <w:lang w:val="en-US" w:eastAsia="zh-CN"/>
        </w:rPr>
        <w:t>阴道镜检查床</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1.手术床台面尺寸：长≥1900</w:t>
      </w:r>
      <w:r>
        <w:rPr>
          <w:rFonts w:ascii="宋体" w:hAnsi="宋体"/>
          <w:sz w:val="21"/>
          <w:szCs w:val="21"/>
        </w:rPr>
        <w:t>mm</w:t>
      </w:r>
      <w:r>
        <w:rPr>
          <w:rFonts w:hint="eastAsia" w:ascii="宋体" w:hAnsi="宋体"/>
          <w:sz w:val="21"/>
          <w:szCs w:val="21"/>
        </w:rPr>
        <w:t xml:space="preserve">、宽≥480 </w:t>
      </w:r>
      <w:r>
        <w:rPr>
          <w:rFonts w:ascii="宋体" w:hAnsi="宋体"/>
          <w:sz w:val="21"/>
          <w:szCs w:val="21"/>
        </w:rPr>
        <w:t>mm</w:t>
      </w:r>
      <w:r>
        <w:rPr>
          <w:rFonts w:hint="eastAsia" w:ascii="宋体" w:hAnsi="宋体"/>
          <w:sz w:val="21"/>
          <w:szCs w:val="21"/>
        </w:rPr>
        <w:t>。</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2.床面升降范围：700～900</w:t>
      </w:r>
      <w:r>
        <w:rPr>
          <w:rFonts w:ascii="宋体" w:hAnsi="宋体"/>
          <w:sz w:val="21"/>
          <w:szCs w:val="21"/>
        </w:rPr>
        <w:t>mm</w:t>
      </w:r>
      <w:r>
        <w:rPr>
          <w:rFonts w:hint="eastAsia" w:ascii="宋体" w:hAnsi="宋体"/>
          <w:sz w:val="21"/>
          <w:szCs w:val="21"/>
        </w:rPr>
        <w:t xml:space="preserve"> 、升距≥250</w:t>
      </w:r>
      <w:r>
        <w:rPr>
          <w:rFonts w:ascii="宋体" w:hAnsi="宋体"/>
          <w:sz w:val="21"/>
          <w:szCs w:val="21"/>
        </w:rPr>
        <w:t>mm</w:t>
      </w:r>
      <w:r>
        <w:rPr>
          <w:rFonts w:hint="eastAsia" w:ascii="宋体" w:hAnsi="宋体"/>
          <w:sz w:val="21"/>
          <w:szCs w:val="21"/>
        </w:rPr>
        <w:t>； 可自由升降、锁定。</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3.床面前后倾角度：前倾≥20°、后倾≥20°。</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4.床面左右倾角度：左倾≥15°、右倾 ≥15°。</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5.头版：上折≥45°、下折≥90°</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6.背板：上折≥45°、背板下折≥15°</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7.腿板：下折≥90°、外展≥90°，可拆卸。</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8.足板：下折≥90°、外展≥90°，可拆卸。</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9.腰板升距：≥10</w:t>
      </w:r>
      <w:r>
        <w:rPr>
          <w:rFonts w:ascii="宋体" w:hAnsi="宋体"/>
          <w:sz w:val="21"/>
          <w:szCs w:val="21"/>
        </w:rPr>
        <w:t>0mm</w:t>
      </w:r>
      <w:r>
        <w:rPr>
          <w:rFonts w:hint="eastAsia" w:ascii="宋体" w:hAnsi="宋体"/>
          <w:sz w:val="21"/>
          <w:szCs w:val="21"/>
        </w:rPr>
        <w:t>。</w:t>
      </w:r>
    </w:p>
    <w:p>
      <w:pPr>
        <w:autoSpaceDE w:val="0"/>
        <w:autoSpaceDN w:val="0"/>
        <w:adjustRightInd w:val="0"/>
        <w:spacing w:line="420" w:lineRule="exact"/>
        <w:rPr>
          <w:rFonts w:hint="eastAsia" w:ascii="宋体" w:hAnsi="宋体"/>
          <w:sz w:val="21"/>
          <w:szCs w:val="21"/>
        </w:rPr>
      </w:pPr>
      <w:r>
        <w:rPr>
          <w:rFonts w:hint="eastAsia" w:ascii="宋体" w:hAnsi="宋体"/>
          <w:sz w:val="21"/>
          <w:szCs w:val="21"/>
        </w:rPr>
        <w:t>10.电源：交流220V±</w:t>
      </w:r>
      <w:r>
        <w:rPr>
          <w:rFonts w:ascii="宋体" w:hAnsi="宋体"/>
          <w:sz w:val="21"/>
          <w:szCs w:val="21"/>
        </w:rPr>
        <w:t>10</w:t>
      </w:r>
      <w:r>
        <w:rPr>
          <w:rFonts w:hint="eastAsia" w:ascii="宋体" w:hAnsi="宋体"/>
          <w:sz w:val="21"/>
          <w:szCs w:val="21"/>
        </w:rPr>
        <w:t>％，50HZ。</w:t>
      </w:r>
    </w:p>
    <w:p>
      <w:pPr>
        <w:autoSpaceDE w:val="0"/>
        <w:autoSpaceDN w:val="0"/>
        <w:adjustRightInd w:val="0"/>
        <w:spacing w:line="420" w:lineRule="exact"/>
        <w:rPr>
          <w:rFonts w:ascii="宋体" w:hAnsi="宋体"/>
          <w:sz w:val="21"/>
          <w:szCs w:val="21"/>
        </w:rPr>
      </w:pPr>
      <w:r>
        <w:rPr>
          <w:rFonts w:hint="eastAsia" w:ascii="宋体" w:hAnsi="宋体"/>
          <w:sz w:val="21"/>
          <w:szCs w:val="21"/>
        </w:rPr>
        <w:t>11.安全工作载荷：≥130kg</w:t>
      </w:r>
    </w:p>
    <w:p>
      <w:pPr>
        <w:pStyle w:val="2"/>
        <w:rPr>
          <w:rFonts w:hint="eastAsia"/>
          <w:lang w:val="en-US" w:eastAsia="zh-CN"/>
        </w:rPr>
      </w:pPr>
      <w:r>
        <w:rPr>
          <w:rFonts w:hint="eastAsia" w:ascii="宋体" w:hAnsi="宋体"/>
          <w:sz w:val="21"/>
          <w:szCs w:val="21"/>
        </w:rPr>
        <w:t>12.★配置</w:t>
      </w:r>
      <w:r>
        <w:rPr>
          <w:rFonts w:hint="eastAsia" w:hAnsi="宋体"/>
          <w:sz w:val="21"/>
          <w:szCs w:val="21"/>
          <w:lang w:val="en-US" w:eastAsia="zh-CN"/>
        </w:rPr>
        <w:t>清单</w:t>
      </w:r>
      <w:r>
        <w:rPr>
          <w:rFonts w:hint="eastAsia" w:ascii="宋体" w:hAnsi="宋体"/>
          <w:sz w:val="21"/>
          <w:szCs w:val="21"/>
        </w:rPr>
        <w:t>：手术床主床1张、支身架1付、支肩架1付 、麻醉屏架 1件、 托腿架 1付、 托手板1付、床垫1套。</w:t>
      </w:r>
    </w:p>
    <w:p>
      <w:pPr>
        <w:numPr>
          <w:ilvl w:val="0"/>
          <w:numId w:val="0"/>
        </w:numPr>
        <w:spacing w:line="360" w:lineRule="exact"/>
        <w:ind w:leftChars="0"/>
        <w:jc w:val="left"/>
        <w:rPr>
          <w:rFonts w:ascii="仿宋" w:hAnsi="仿宋" w:eastAsia="仿宋" w:cs="Segoe UI"/>
          <w:b/>
          <w:bCs/>
          <w:color w:val="333333"/>
          <w:spacing w:val="8"/>
          <w:kern w:val="0"/>
          <w:sz w:val="28"/>
          <w:szCs w:val="28"/>
        </w:rPr>
      </w:pPr>
      <w:r>
        <w:rPr>
          <w:rFonts w:hint="eastAsia"/>
          <w:b/>
          <w:bCs/>
        </w:rPr>
        <w:t>说明：标注“★”的条款为本项目的实质性条款，投标人不满足的，将按照无效投标处理</w:t>
      </w:r>
      <w:r>
        <w:rPr>
          <w:rFonts w:hint="eastAsia" w:ascii="仿宋" w:hAnsi="仿宋" w:eastAsia="仿宋" w:cs="Segoe UI"/>
          <w:b/>
          <w:bCs/>
          <w:color w:val="333333"/>
          <w:spacing w:val="8"/>
          <w:kern w:val="0"/>
          <w:sz w:val="28"/>
          <w:szCs w:val="28"/>
        </w:rPr>
        <w:t>。</w:t>
      </w:r>
    </w:p>
    <w:p>
      <w:pPr>
        <w:numPr>
          <w:ilvl w:val="0"/>
          <w:numId w:val="0"/>
        </w:numPr>
        <w:spacing w:line="360" w:lineRule="exact"/>
        <w:ind w:leftChars="0"/>
        <w:jc w:val="left"/>
        <w:rPr>
          <w:rFonts w:hint="eastAsia" w:ascii="宋体" w:hAnsi="宋体" w:eastAsia="宋体" w:cs="Times New Roman"/>
          <w:b/>
          <w:bCs/>
          <w:highlight w:val="none"/>
          <w:lang w:eastAsia="zh-CN"/>
        </w:rPr>
      </w:pPr>
      <w:r>
        <w:rPr>
          <w:rFonts w:hint="eastAsia"/>
          <w:b/>
          <w:bCs/>
        </w:rPr>
        <w:t>本章中</w:t>
      </w:r>
      <w:r>
        <w:rPr>
          <w:rFonts w:hint="eastAsia" w:ascii="宋体" w:hAnsi="宋体" w:eastAsia="宋体" w:cs="宋体"/>
          <w:b/>
          <w:bCs/>
          <w:color w:val="000000"/>
          <w:kern w:val="0"/>
          <w:lang w:val="en-US" w:eastAsia="zh-CN"/>
        </w:rPr>
        <w:t>▲</w:t>
      </w:r>
      <w:r>
        <w:rPr>
          <w:rFonts w:hint="eastAsia" w:hAnsi="宋体" w:eastAsia="宋体" w:cs="宋体"/>
          <w:b/>
          <w:bCs/>
          <w:color w:val="000000"/>
          <w:kern w:val="0"/>
          <w:lang w:val="en-US" w:eastAsia="zh-CN"/>
        </w:rPr>
        <w:t>条款为重要技术条款，</w:t>
      </w:r>
      <w:r>
        <w:rPr>
          <w:rFonts w:hint="eastAsia" w:ascii="宋体" w:hAnsi="宋体" w:eastAsia="宋体" w:cs="宋体"/>
          <w:b/>
          <w:bCs/>
          <w:sz w:val="21"/>
          <w:szCs w:val="21"/>
          <w:highlight w:val="none"/>
          <w:lang w:val="en-US" w:eastAsia="zh-CN"/>
        </w:rPr>
        <w:t>需要逐条提供</w:t>
      </w:r>
      <w:r>
        <w:rPr>
          <w:rFonts w:hint="eastAsia" w:ascii="宋体" w:hAnsi="宋体" w:eastAsia="宋体" w:cs="宋体"/>
          <w:b/>
          <w:bCs/>
          <w:sz w:val="21"/>
          <w:szCs w:val="21"/>
          <w:lang w:val="en-US" w:eastAsia="zh-CN"/>
        </w:rPr>
        <w:t>佐证材料</w:t>
      </w:r>
      <w:r>
        <w:rPr>
          <w:rFonts w:hint="eastAsia" w:ascii="宋体" w:hAnsi="宋体" w:cs="宋体"/>
          <w:b/>
          <w:bCs/>
          <w:sz w:val="21"/>
          <w:szCs w:val="21"/>
          <w:lang w:val="en-US" w:eastAsia="zh-CN"/>
        </w:rPr>
        <w:t>，并在招标文件中标注页码；</w:t>
      </w:r>
      <w:r>
        <w:rPr>
          <w:rFonts w:hint="eastAsia" w:ascii="宋体" w:hAnsi="宋体" w:eastAsia="宋体" w:cs="宋体"/>
          <w:b/>
          <w:bCs/>
          <w:sz w:val="21"/>
          <w:szCs w:val="21"/>
          <w:lang w:val="en-US" w:eastAsia="zh-CN"/>
        </w:rPr>
        <w:t>佐证材料为投标产品说明书或公开发行的彩页或国家认可的第三方检测机构出具的检测报告，</w:t>
      </w:r>
      <w:r>
        <w:rPr>
          <w:rFonts w:hint="eastAsia" w:ascii="宋体" w:hAnsi="宋体" w:cs="宋体"/>
          <w:b/>
          <w:bCs/>
        </w:rPr>
        <w:t>并加盖投标人公章</w:t>
      </w:r>
      <w:r>
        <w:rPr>
          <w:rFonts w:hint="eastAsia" w:ascii="宋体" w:hAnsi="宋体" w:eastAsia="宋体" w:cs="宋体"/>
          <w:b/>
          <w:bCs/>
          <w:sz w:val="21"/>
          <w:szCs w:val="21"/>
          <w:lang w:val="en-US" w:eastAsia="zh-CN"/>
        </w:rPr>
        <w:t>。</w:t>
      </w:r>
    </w:p>
    <w:p>
      <w:pPr>
        <w:numPr>
          <w:ilvl w:val="0"/>
          <w:numId w:val="0"/>
        </w:numPr>
        <w:spacing w:line="360" w:lineRule="exact"/>
        <w:ind w:leftChars="0"/>
        <w:jc w:val="left"/>
        <w:rPr>
          <w:rFonts w:hint="eastAsia"/>
          <w:b/>
          <w:bCs/>
        </w:rPr>
      </w:pPr>
    </w:p>
    <w:p>
      <w:pPr>
        <w:numPr>
          <w:ilvl w:val="0"/>
          <w:numId w:val="0"/>
        </w:numPr>
        <w:spacing w:line="360" w:lineRule="exact"/>
        <w:ind w:leftChars="0"/>
        <w:jc w:val="left"/>
        <w:rPr>
          <w:b/>
          <w:bCs/>
        </w:rPr>
      </w:pPr>
      <w:r>
        <w:rPr>
          <w:rFonts w:hint="eastAsia"/>
          <w:b/>
          <w:bCs/>
        </w:rPr>
        <w:t>三、商务要求：</w:t>
      </w:r>
    </w:p>
    <w:p>
      <w:pPr>
        <w:spacing w:line="36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val="en-US" w:eastAsia="zh-Hans"/>
        </w:rPr>
        <w:t>及地点</w:t>
      </w:r>
    </w:p>
    <w:p>
      <w:pPr>
        <w:spacing w:line="36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val="en-US" w:eastAsia="zh-Hans"/>
        </w:rPr>
        <w:t>：合同签订生效后，收到采购人通知后30日内完成安装调试并交付采购人验收。</w:t>
      </w:r>
    </w:p>
    <w:p>
      <w:pPr>
        <w:spacing w:line="36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val="en-US" w:eastAsia="zh-Hans"/>
        </w:rPr>
        <w:t>地点：四川省妇幼保健院。</w:t>
      </w:r>
    </w:p>
    <w:p>
      <w:pPr>
        <w:spacing w:line="360" w:lineRule="exact"/>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2.付款方法和条件</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2.1乙方在合同签订生效之日起的7个工作日内，按合同总价10%支付履约保证金。</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2.3货物自验收合格之日满2年，甲方接到乙方付款申请后30个工作日内，甲方一次性无息退还乙方的履约保证金。</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2.4经验收乙方履约不合格的，履约保证金不予退还。</w:t>
      </w:r>
    </w:p>
    <w:p>
      <w:pPr>
        <w:spacing w:line="36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3.安装调试及验收：</w:t>
      </w:r>
    </w:p>
    <w:p>
      <w:pPr>
        <w:spacing w:line="36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3.1中标人负责货物安装、调试。</w:t>
      </w:r>
    </w:p>
    <w:p>
      <w:pPr>
        <w:spacing w:line="36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3.2货物安装调试完毕后，中标人应对采购人操作人员进行现场培训，直至采购人的技术人员能独立操作，同时能完成一般常见故障的维修工作。</w:t>
      </w:r>
    </w:p>
    <w:p>
      <w:pPr>
        <w:spacing w:line="36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3.3完成中标产品所有安装、调试、培训后，采购人组织项目验收，验收标准以招标文件或中标方投标文件为准。</w:t>
      </w:r>
    </w:p>
    <w:p>
      <w:pPr>
        <w:spacing w:line="36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4.售后服务：</w:t>
      </w:r>
    </w:p>
    <w:p>
      <w:pPr>
        <w:spacing w:line="360" w:lineRule="exact"/>
        <w:rPr>
          <w:rFonts w:hint="eastAsia" w:ascii="宋体" w:hAnsi="宋体" w:cs="宋体"/>
          <w:color w:val="000000"/>
          <w:kern w:val="0"/>
        </w:rPr>
      </w:pPr>
      <w:r>
        <w:rPr>
          <w:rFonts w:hint="eastAsia" w:ascii="宋体" w:hAnsi="宋体" w:eastAsia="宋体" w:cs="宋体"/>
          <w:color w:val="000000"/>
          <w:kern w:val="0"/>
          <w:lang w:val="en-US" w:eastAsia="zh-Hans"/>
        </w:rPr>
        <w:t>4.1质保期：</w:t>
      </w:r>
      <w:r>
        <w:rPr>
          <w:rFonts w:hint="eastAsia" w:ascii="宋体" w:hAnsi="宋体" w:cs="宋体"/>
          <w:color w:val="000000"/>
          <w:kern w:val="0"/>
        </w:rPr>
        <w:t>最终验收合格后提供至少</w:t>
      </w:r>
      <w:bookmarkStart w:id="1" w:name="_GoBack"/>
      <w:r>
        <w:rPr>
          <w:rFonts w:hint="eastAsia" w:ascii="宋体" w:hAnsi="宋体" w:cs="宋体"/>
          <w:color w:val="auto"/>
          <w:kern w:val="0"/>
        </w:rPr>
        <w:t>3年</w:t>
      </w:r>
      <w:bookmarkEnd w:id="1"/>
      <w:r>
        <w:rPr>
          <w:rFonts w:hint="eastAsia" w:ascii="宋体" w:hAnsi="宋体" w:cs="宋体"/>
          <w:color w:val="000000"/>
          <w:kern w:val="0"/>
        </w:rPr>
        <w:t>原厂质保（含整机所有部件；如质保期内部件损坏，中标人免费更换全新原厂配件，并对更换部件延长一年质保）。</w:t>
      </w:r>
    </w:p>
    <w:p>
      <w:pPr>
        <w:spacing w:line="360" w:lineRule="exact"/>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4.3如质保期内货物经中标人两次维修仍不能达到国家相关质量标准，采购人有权要求中标人无条件更换全新货物或退货，并追究中标人违约责任。</w:t>
      </w:r>
    </w:p>
    <w:p>
      <w:pPr>
        <w:spacing w:line="36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4.4如货物涉及软件升级，中标人承诺为采购人提供软件升级服务，费用包含在投标总价内，采购人不再另行支付费用。</w:t>
      </w:r>
    </w:p>
    <w:p>
      <w:pPr>
        <w:spacing w:line="420" w:lineRule="exact"/>
        <w:rPr>
          <w:rFonts w:hint="default" w:ascii="宋体" w:hAnsi="宋体" w:eastAsia="宋体" w:cs="宋体"/>
          <w:color w:val="000000"/>
          <w:kern w:val="0"/>
          <w:lang w:val="en-US" w:eastAsia="zh-Hans"/>
        </w:rPr>
      </w:pPr>
      <w:r>
        <w:rPr>
          <w:rFonts w:hint="eastAsia" w:ascii="宋体" w:hAnsi="宋体" w:eastAsia="宋体" w:cs="宋体"/>
          <w:color w:val="000000"/>
          <w:kern w:val="0"/>
          <w:lang w:val="en-US" w:eastAsia="zh-Hans"/>
        </w:rPr>
        <w:t>4.5中标人应承诺保证设备停产后</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en-US" w:eastAsia="zh-Hans"/>
        </w:rPr>
        <w:t>5年的零配件供应。</w:t>
      </w:r>
      <w:r>
        <w:rPr>
          <w:rFonts w:hint="eastAsia" w:ascii="宋体" w:hAnsi="宋体" w:eastAsia="宋体" w:cs="宋体"/>
          <w:color w:val="000000"/>
          <w:kern w:val="0"/>
          <w:lang w:val="en-US" w:eastAsia="zh-CN"/>
        </w:rPr>
        <w:t>半年</w:t>
      </w:r>
      <w:r>
        <w:rPr>
          <w:rFonts w:hint="eastAsia" w:ascii="宋体" w:hAnsi="宋体" w:eastAsia="宋体" w:cs="宋体"/>
          <w:color w:val="000000"/>
          <w:kern w:val="0"/>
          <w:lang w:eastAsia="zh-CN"/>
        </w:rPr>
        <w:t>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widowControl/>
        <w:jc w:val="lef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6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36"/>
        <w:gridCol w:w="2060"/>
        <w:gridCol w:w="1053"/>
        <w:gridCol w:w="507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67" w:type="pct"/>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346"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968"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495"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383"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438"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7" w:type="pct"/>
            <w:vMerge w:val="continue"/>
            <w:noWrap w:val="0"/>
            <w:vAlign w:val="center"/>
          </w:tcPr>
          <w:p>
            <w:pPr>
              <w:spacing w:line="360" w:lineRule="exact"/>
              <w:jc w:val="center"/>
              <w:rPr>
                <w:rFonts w:hint="eastAsia" w:cs="宋体"/>
                <w:color w:val="000000"/>
                <w:kern w:val="0"/>
              </w:rPr>
            </w:pPr>
          </w:p>
        </w:tc>
        <w:tc>
          <w:tcPr>
            <w:tcW w:w="346"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968"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495"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30</w:t>
            </w:r>
          </w:p>
        </w:tc>
        <w:tc>
          <w:tcPr>
            <w:tcW w:w="2383"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tc>
        <w:tc>
          <w:tcPr>
            <w:tcW w:w="438" w:type="pct"/>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367" w:type="pct"/>
            <w:vMerge w:val="continue"/>
            <w:noWrap w:val="0"/>
            <w:vAlign w:val="center"/>
          </w:tcPr>
          <w:p>
            <w:pPr>
              <w:spacing w:line="360" w:lineRule="exact"/>
              <w:jc w:val="center"/>
              <w:rPr>
                <w:rFonts w:hint="eastAsia" w:cs="宋体"/>
                <w:color w:val="000000"/>
                <w:kern w:val="0"/>
              </w:rPr>
            </w:pPr>
          </w:p>
        </w:tc>
        <w:tc>
          <w:tcPr>
            <w:tcW w:w="346"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968"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55</w:t>
            </w:r>
            <w:r>
              <w:rPr>
                <w:rFonts w:hint="eastAsia" w:ascii="宋体" w:hAnsi="宋体" w:cs="Segoe UI"/>
                <w:color w:val="000000"/>
                <w:kern w:val="0"/>
              </w:rPr>
              <w:t>%</w:t>
            </w:r>
          </w:p>
        </w:tc>
        <w:tc>
          <w:tcPr>
            <w:tcW w:w="495" w:type="pct"/>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55</w:t>
            </w:r>
          </w:p>
        </w:tc>
        <w:tc>
          <w:tcPr>
            <w:tcW w:w="2383"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完全符合招标文件技术参数要求得</w:t>
            </w:r>
            <w:r>
              <w:rPr>
                <w:rFonts w:hint="eastAsia" w:ascii="宋体" w:hAnsi="宋体" w:eastAsia="宋体" w:cs="宋体"/>
                <w:lang w:val="en-US" w:eastAsia="zh-CN"/>
              </w:rPr>
              <w:t>55</w:t>
            </w:r>
            <w:r>
              <w:rPr>
                <w:rFonts w:hint="eastAsia" w:ascii="宋体" w:hAnsi="宋体" w:eastAsia="宋体" w:cs="宋体"/>
              </w:rPr>
              <w:t>分。▲号条款负偏离一项扣</w:t>
            </w:r>
            <w:r>
              <w:rPr>
                <w:rFonts w:hint="eastAsia" w:ascii="宋体" w:hAnsi="宋体" w:eastAsia="宋体" w:cs="宋体"/>
                <w:lang w:val="en-US" w:eastAsia="zh-CN"/>
              </w:rPr>
              <w:t>7</w:t>
            </w:r>
            <w:r>
              <w:rPr>
                <w:rFonts w:hint="eastAsia" w:ascii="宋体" w:hAnsi="宋体" w:eastAsia="宋体" w:cs="宋体"/>
              </w:rPr>
              <w:t>分，非▲号条款负偏离一项扣</w:t>
            </w:r>
            <w:r>
              <w:rPr>
                <w:rFonts w:hint="eastAsia" w:ascii="宋体" w:hAnsi="宋体" w:eastAsia="宋体" w:cs="宋体"/>
                <w:lang w:val="en-US" w:eastAsia="zh-CN"/>
              </w:rPr>
              <w:t>1</w:t>
            </w:r>
            <w:r>
              <w:rPr>
                <w:rFonts w:hint="eastAsia" w:ascii="宋体" w:hAnsi="宋体" w:eastAsia="宋体" w:cs="宋体"/>
              </w:rPr>
              <w:t>分，扣完为止。（▲号条款共</w:t>
            </w:r>
            <w:r>
              <w:rPr>
                <w:rFonts w:hint="eastAsia" w:ascii="宋体" w:hAnsi="宋体" w:eastAsia="宋体" w:cs="宋体"/>
                <w:lang w:val="en-US" w:eastAsia="zh-CN"/>
              </w:rPr>
              <w:t>4</w:t>
            </w:r>
            <w:r>
              <w:rPr>
                <w:rFonts w:hint="eastAsia" w:ascii="宋体" w:hAnsi="宋体" w:eastAsia="宋体" w:cs="宋体"/>
              </w:rPr>
              <w:t>项，非▲号条款负偏离共</w:t>
            </w:r>
            <w:r>
              <w:rPr>
                <w:rFonts w:hint="eastAsia" w:ascii="宋体" w:hAnsi="宋体" w:eastAsia="宋体" w:cs="宋体"/>
                <w:lang w:val="en-US" w:eastAsia="zh-CN"/>
              </w:rPr>
              <w:t>27</w:t>
            </w:r>
            <w:r>
              <w:rPr>
                <w:rFonts w:hint="eastAsia" w:ascii="宋体" w:hAnsi="宋体" w:eastAsia="宋体" w:cs="宋体"/>
              </w:rPr>
              <w:t>项），</w:t>
            </w:r>
          </w:p>
          <w:p>
            <w:pPr>
              <w:widowControl/>
              <w:spacing w:line="360" w:lineRule="exact"/>
              <w:rPr>
                <w:rFonts w:hint="eastAsia" w:ascii="宋体" w:hAnsi="宋体" w:eastAsia="宋体" w:cs="宋体"/>
              </w:rPr>
            </w:pPr>
            <w:r>
              <w:rPr>
                <w:rFonts w:hint="eastAsia" w:ascii="宋体" w:hAnsi="宋体" w:eastAsia="宋体" w:cs="宋体"/>
              </w:rPr>
              <w:t>注：（1）▲号条款需提供证明文件（按招标文件要求提供资料, ▲号条款招标文件未要求提供证明材料的，提供所投产品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438" w:type="pct"/>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67" w:type="pct"/>
            <w:vMerge w:val="continue"/>
            <w:noWrap w:val="0"/>
            <w:vAlign w:val="center"/>
          </w:tcPr>
          <w:p>
            <w:pPr>
              <w:spacing w:line="360" w:lineRule="exact"/>
              <w:jc w:val="center"/>
              <w:rPr>
                <w:rFonts w:hint="eastAsia" w:cs="宋体"/>
                <w:color w:val="000000"/>
                <w:kern w:val="0"/>
              </w:rPr>
            </w:pPr>
          </w:p>
        </w:tc>
        <w:tc>
          <w:tcPr>
            <w:tcW w:w="346"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968"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7</w:t>
            </w:r>
            <w:r>
              <w:rPr>
                <w:rFonts w:hint="eastAsia" w:ascii="宋体" w:hAnsi="宋体" w:cs="Segoe UI"/>
                <w:color w:val="000000"/>
                <w:kern w:val="0"/>
              </w:rPr>
              <w:t>%</w:t>
            </w:r>
          </w:p>
        </w:tc>
        <w:tc>
          <w:tcPr>
            <w:tcW w:w="495" w:type="pct"/>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7</w:t>
            </w:r>
          </w:p>
        </w:tc>
        <w:tc>
          <w:tcPr>
            <w:tcW w:w="2383" w:type="pct"/>
            <w:noWrap w:val="0"/>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1</w:t>
            </w:r>
            <w:r>
              <w:rPr>
                <w:rFonts w:hint="eastAsia" w:ascii="宋体" w:hAnsi="宋体" w:cs="宋体"/>
              </w:rPr>
              <w:t>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w:t>
            </w:r>
            <w:r>
              <w:rPr>
                <w:rFonts w:hint="eastAsia" w:ascii="宋体" w:hAnsi="宋体" w:cs="宋体"/>
                <w:lang w:val="en-US" w:eastAsia="zh-CN"/>
              </w:rPr>
              <w:t>相同产品业绩不超过4分，</w:t>
            </w:r>
            <w:r>
              <w:rPr>
                <w:rFonts w:hint="eastAsia" w:ascii="宋体" w:hAnsi="宋体" w:cs="宋体"/>
              </w:rPr>
              <w:t>最高得</w:t>
            </w:r>
            <w:r>
              <w:rPr>
                <w:rFonts w:hint="eastAsia" w:ascii="宋体" w:hAnsi="宋体" w:cs="宋体"/>
                <w:lang w:val="en-US" w:eastAsia="zh-CN"/>
              </w:rPr>
              <w:t>7</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438" w:type="pct"/>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367" w:type="pct"/>
            <w:vMerge w:val="continue"/>
            <w:noWrap w:val="0"/>
            <w:vAlign w:val="center"/>
          </w:tcPr>
          <w:p>
            <w:pPr>
              <w:spacing w:line="360" w:lineRule="exact"/>
              <w:jc w:val="center"/>
              <w:rPr>
                <w:rFonts w:hint="eastAsia" w:cs="宋体"/>
                <w:color w:val="000000"/>
                <w:kern w:val="0"/>
              </w:rPr>
            </w:pPr>
          </w:p>
        </w:tc>
        <w:tc>
          <w:tcPr>
            <w:tcW w:w="346"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968"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495" w:type="pct"/>
            <w:noWrap w:val="0"/>
            <w:vAlign w:val="center"/>
          </w:tcPr>
          <w:p>
            <w:pPr>
              <w:spacing w:line="360" w:lineRule="exact"/>
              <w:ind w:left="-105" w:right="-107"/>
              <w:jc w:val="center"/>
              <w:rPr>
                <w:rFonts w:hint="eastAsia" w:ascii="宋体" w:hAnsi="宋体" w:eastAsia="宋体" w:cs="Segoe UI"/>
                <w:color w:val="333333"/>
                <w:kern w:val="0"/>
                <w:lang w:eastAsia="zh-CN"/>
              </w:rPr>
            </w:pPr>
            <w:r>
              <w:rPr>
                <w:rFonts w:hint="eastAsia" w:ascii="宋体" w:hAnsi="宋体" w:cs="Segoe UI"/>
                <w:color w:val="333333"/>
                <w:kern w:val="0"/>
                <w:lang w:val="en-US" w:eastAsia="zh-CN"/>
              </w:rPr>
              <w:t>8</w:t>
            </w:r>
          </w:p>
        </w:tc>
        <w:tc>
          <w:tcPr>
            <w:tcW w:w="2383" w:type="pct"/>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ascii="宋体" w:hAnsi="宋体" w:cs="宋体"/>
              </w:rPr>
              <w:t>0.</w:t>
            </w:r>
            <w:r>
              <w:rPr>
                <w:rFonts w:hint="eastAsia" w:ascii="宋体" w:hAnsi="宋体" w:cs="宋体"/>
                <w:lang w:val="en-US" w:eastAsia="zh-CN"/>
              </w:rPr>
              <w:t>5</w:t>
            </w:r>
            <w:r>
              <w:rPr>
                <w:rFonts w:hint="eastAsia" w:ascii="宋体" w:hAnsi="宋体" w:cs="宋体"/>
              </w:rPr>
              <w:t>分，扣完为止。（2）根据投标人提供的与投标产品相关的①技术培训服务方案（其中应包含培训人员及维修人员的相关专业证书及在职证明加盖投标人公章）；②服务培训计划。方案包含以上</w:t>
            </w:r>
            <w:r>
              <w:rPr>
                <w:rFonts w:ascii="宋体" w:hAnsi="宋体" w:cs="宋体"/>
              </w:rPr>
              <w:t>2</w:t>
            </w:r>
            <w:r>
              <w:rPr>
                <w:rFonts w:hint="eastAsia" w:ascii="宋体" w:hAnsi="宋体" w:cs="宋体"/>
              </w:rPr>
              <w:t>个方面的得4分，每缺少一项的扣2分，每有一项存在内容缺陷扣1分，扣完为止。</w:t>
            </w:r>
          </w:p>
          <w:p>
            <w:pPr>
              <w:widowControl/>
              <w:spacing w:line="360" w:lineRule="exact"/>
              <w:rPr>
                <w:rFonts w:ascii="宋体" w:hAnsi="宋体" w:cs="宋体"/>
              </w:rPr>
            </w:pPr>
            <w:r>
              <w:rPr>
                <w:rFonts w:hint="eastAsia" w:ascii="宋体" w:hAnsi="宋体" w:cs="宋体"/>
              </w:rPr>
              <w:t>注：内容缺陷是指非专门针对本项目或不适用项目特性的情形、内容不完整或缺少关键节点、套用其他项目内容、内容前后矛盾、涉及的规范及标准错误、不利于项目实施、不可能实现的情形等任意一种情形。</w:t>
            </w:r>
            <w:r>
              <w:rPr>
                <w:rFonts w:ascii="宋体" w:hAnsi="宋体" w:cs="宋体"/>
              </w:rPr>
              <w:t xml:space="preserve"> </w:t>
            </w:r>
          </w:p>
        </w:tc>
        <w:tc>
          <w:tcPr>
            <w:tcW w:w="438" w:type="pct"/>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pStyle w:val="2"/>
      </w:pPr>
    </w:p>
    <w:p>
      <w:pPr>
        <w:widowControl/>
        <w:jc w:val="left"/>
        <w:rPr>
          <w:rFonts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经办人社保缴纳证明等资格文件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r>
        <w:rPr>
          <w:rFonts w:hint="eastAsia" w:ascii="仿宋_GB2312" w:hAnsi="Segoe UI" w:eastAsia="仿宋_GB2312" w:cs="Segoe UI"/>
          <w:color w:val="333333"/>
          <w:kern w:val="0"/>
          <w:sz w:val="24"/>
          <w:szCs w:val="24"/>
          <w:lang w:val="en-US" w:eastAsia="zh-CN"/>
        </w:rPr>
        <w:t>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A1D25"/>
    <w:multiLevelType w:val="singleLevel"/>
    <w:tmpl w:val="CFCA1D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1910093"/>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170E81"/>
    <w:rsid w:val="368F2498"/>
    <w:rsid w:val="395149AF"/>
    <w:rsid w:val="39CE1F6A"/>
    <w:rsid w:val="3DA970F6"/>
    <w:rsid w:val="3DE462AE"/>
    <w:rsid w:val="41096628"/>
    <w:rsid w:val="43800988"/>
    <w:rsid w:val="45C50E50"/>
    <w:rsid w:val="45FE0BC5"/>
    <w:rsid w:val="47A53522"/>
    <w:rsid w:val="49A664ED"/>
    <w:rsid w:val="4B671727"/>
    <w:rsid w:val="4C76008D"/>
    <w:rsid w:val="4F954CC0"/>
    <w:rsid w:val="502D72B4"/>
    <w:rsid w:val="59213BB4"/>
    <w:rsid w:val="5B1829CF"/>
    <w:rsid w:val="5F381B5D"/>
    <w:rsid w:val="60021495"/>
    <w:rsid w:val="61932C14"/>
    <w:rsid w:val="622F0396"/>
    <w:rsid w:val="63D266D5"/>
    <w:rsid w:val="6CA02C6A"/>
    <w:rsid w:val="700B2FC9"/>
    <w:rsid w:val="734A410E"/>
    <w:rsid w:val="735C33F9"/>
    <w:rsid w:val="73C228BF"/>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2"/>
    <w:qFormat/>
    <w:uiPriority w:val="99"/>
    <w:rPr>
      <w:szCs w:val="24"/>
    </w:rPr>
  </w:style>
  <w:style w:type="paragraph" w:customStyle="1" w:styleId="1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2024-07-31T00:40:00Z</cp:lastPrinted>
  <dcterms:modified xsi:type="dcterms:W3CDTF">2024-10-23T02:07:56Z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