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仿宋" w:hAnsi="仿宋" w:eastAsia="仿宋"/>
          <w:sz w:val="28"/>
          <w:szCs w:val="28"/>
        </w:rPr>
      </w:pPr>
      <w:bookmarkStart w:id="0" w:name="_GoBack"/>
      <w:bookmarkEnd w:id="0"/>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ind w:firstLine="643" w:firstLineChars="200"/>
        <w:outlineLvl w:val="9"/>
        <w:rPr>
          <w:rFonts w:hint="eastAsia" w:ascii="仿宋" w:hAnsi="仿宋" w:eastAsia="仿宋" w:cs="宋体"/>
          <w:b/>
          <w:bCs/>
          <w:sz w:val="32"/>
          <w:szCs w:val="32"/>
        </w:rPr>
      </w:pPr>
      <w:r>
        <w:rPr>
          <w:rFonts w:hint="eastAsia" w:ascii="仿宋" w:hAnsi="仿宋" w:eastAsia="仿宋" w:cs="宋体"/>
          <w:b/>
          <w:bCs/>
          <w:sz w:val="32"/>
          <w:szCs w:val="32"/>
        </w:rPr>
        <w:t>此次遴选共分为2个包，具体如下：</w:t>
      </w:r>
    </w:p>
    <w:p>
      <w:pPr>
        <w:ind w:firstLine="643" w:firstLineChars="200"/>
        <w:outlineLvl w:val="9"/>
        <w:rPr>
          <w:rFonts w:ascii="仿宋" w:hAnsi="仿宋" w:eastAsia="仿宋" w:cs="宋体"/>
          <w:b/>
          <w:bCs/>
          <w:sz w:val="32"/>
          <w:szCs w:val="32"/>
        </w:rPr>
      </w:pPr>
      <w:r>
        <w:rPr>
          <w:rFonts w:hint="eastAsia" w:ascii="仿宋" w:hAnsi="仿宋" w:eastAsia="仿宋" w:cs="宋体"/>
          <w:b/>
          <w:bCs/>
          <w:sz w:val="32"/>
          <w:szCs w:val="32"/>
        </w:rPr>
        <w:t>第一包：</w:t>
      </w:r>
      <w:r>
        <w:rPr>
          <w:rFonts w:hint="eastAsia" w:ascii="仿宋" w:hAnsi="仿宋" w:eastAsia="仿宋" w:cs="宋体"/>
          <w:b/>
          <w:bCs/>
          <w:sz w:val="32"/>
          <w:szCs w:val="32"/>
          <w:lang w:eastAsia="zh-CN"/>
        </w:rPr>
        <w:t>天府院区食堂经营项目</w:t>
      </w:r>
      <w:r>
        <w:rPr>
          <w:rFonts w:hint="eastAsia" w:ascii="仿宋" w:hAnsi="仿宋" w:eastAsia="仿宋"/>
          <w:b/>
          <w:bCs/>
          <w:sz w:val="28"/>
          <w:szCs w:val="28"/>
        </w:rPr>
        <w:t>（以下简称第一包）</w:t>
      </w:r>
      <w:r>
        <w:rPr>
          <w:rFonts w:hint="eastAsia" w:ascii="仿宋" w:hAnsi="仿宋" w:eastAsia="仿宋" w:cs="宋体"/>
          <w:b/>
          <w:bCs/>
          <w:sz w:val="32"/>
          <w:szCs w:val="32"/>
        </w:rPr>
        <w:t>，数量：1家</w:t>
      </w:r>
    </w:p>
    <w:p>
      <w:pPr>
        <w:outlineLvl w:val="9"/>
        <w:rPr>
          <w:rFonts w:hint="eastAsia" w:ascii="仿宋" w:hAnsi="仿宋" w:eastAsia="仿宋"/>
          <w:sz w:val="28"/>
          <w:szCs w:val="28"/>
        </w:rPr>
      </w:pPr>
    </w:p>
    <w:p>
      <w:pPr>
        <w:outlineLvl w:val="9"/>
        <w:rPr>
          <w:rFonts w:hint="eastAsia" w:ascii="仿宋" w:hAnsi="仿宋" w:eastAsia="仿宋"/>
          <w:sz w:val="28"/>
          <w:szCs w:val="28"/>
        </w:rPr>
      </w:pPr>
    </w:p>
    <w:p>
      <w:pPr>
        <w:spacing w:line="360" w:lineRule="auto"/>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附件1-1</w:t>
      </w:r>
    </w:p>
    <w:p>
      <w:pPr>
        <w:adjustRightInd w:val="0"/>
        <w:snapToGrid w:val="0"/>
        <w:spacing w:line="480" w:lineRule="auto"/>
        <w:ind w:firstLine="640"/>
        <w:jc w:val="center"/>
        <w:outlineLvl w:val="9"/>
        <w:rPr>
          <w:rFonts w:hint="eastAsia" w:ascii="仿宋" w:hAnsi="仿宋" w:eastAsia="仿宋"/>
          <w:b/>
          <w:sz w:val="32"/>
          <w:szCs w:val="32"/>
          <w:lang w:val="en-US" w:eastAsia="zh-CN"/>
        </w:rPr>
      </w:pPr>
    </w:p>
    <w:p>
      <w:pPr>
        <w:adjustRightInd w:val="0"/>
        <w:snapToGrid w:val="0"/>
        <w:spacing w:line="480" w:lineRule="auto"/>
        <w:ind w:firstLine="640"/>
        <w:jc w:val="center"/>
        <w:outlineLvl w:val="9"/>
        <w:rPr>
          <w:rFonts w:hint="eastAsia" w:ascii="仿宋" w:hAnsi="仿宋" w:eastAsia="仿宋"/>
          <w:b/>
          <w:sz w:val="32"/>
          <w:szCs w:val="32"/>
          <w:lang w:eastAsia="zh-CN"/>
        </w:rPr>
      </w:pPr>
      <w:r>
        <w:rPr>
          <w:rFonts w:hint="eastAsia" w:ascii="仿宋" w:hAnsi="仿宋" w:eastAsia="仿宋"/>
          <w:b/>
          <w:sz w:val="32"/>
          <w:szCs w:val="32"/>
        </w:rPr>
        <w:t>参选机构要求</w:t>
      </w:r>
      <w:r>
        <w:rPr>
          <w:rFonts w:hint="eastAsia" w:ascii="仿宋" w:hAnsi="仿宋" w:eastAsia="仿宋"/>
          <w:b/>
          <w:sz w:val="32"/>
          <w:szCs w:val="32"/>
          <w:lang w:eastAsia="zh-CN"/>
        </w:rPr>
        <w:t>（第一包）</w:t>
      </w:r>
    </w:p>
    <w:p>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营养餐厅：建筑面积约2000平方米，实际投入餐饮使用面积暂为1500平方米，服务范围：患者和家属、职工、学生（进修生，研究生、规培生、实习生）、第三方公司员工等；服务内容：提供堂食、订餐、送餐、加班用餐、手术用餐等服务；参选机构需按医院要求自行出资设立临时售餐点，为患者和家属提供就近供餐服务。天府院区食堂经营范围为普通膳食，不包括医生开具处方的治疗性膳食。</w:t>
      </w:r>
    </w:p>
    <w:p>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2.授权委托书（原件，格式见附件6）,法定代表人和授权代表有效的身份证复印件；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3.近三年内，参选机构无重大行贿犯罪记录，无重大负面新闻（提供承诺函原件）；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4.近三年内，参选机构未在经营活动中因违法行为（包括消防安全等问题）受到刑事处罚、处以罚款或者没收财产5万元以上、责令停产停业、吊销许可证或者执照等行政处罚（提供承诺函原件）；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6.参选机构遵守遴选纪律承诺书（提供承诺函原件，附件8）；</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7.本次遴选活动不接受联合体投标。</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注：①3—7均提供承诺函原件并加盖鲜章。</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w:t>
      </w:r>
    </w:p>
    <w:p>
      <w:pPr>
        <w:numPr>
          <w:ilvl w:val="0"/>
          <w:numId w:val="0"/>
        </w:numPr>
        <w:spacing w:line="360" w:lineRule="auto"/>
        <w:ind w:firstLine="560"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w:t>
      </w:r>
      <w:r>
        <w:rPr>
          <w:rFonts w:hint="eastAsia" w:ascii="仿宋" w:hAnsi="仿宋" w:eastAsia="仿宋"/>
          <w:b/>
          <w:bCs/>
          <w:sz w:val="28"/>
          <w:szCs w:val="28"/>
          <w:highlight w:val="none"/>
          <w:lang w:val="en-US" w:eastAsia="zh-CN"/>
        </w:rPr>
        <w:t>三、技术服务要求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1.医院现有食堂的房屋、设施、设备、工具、用具等提供给参选机构使用。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2.经营方式：参选机构办理食品经营许可证，自主经营、自负盈亏、独立核算，发生的债权、债务与医院无关。</w:t>
      </w:r>
    </w:p>
    <w:p>
      <w:pPr>
        <w:spacing w:line="360" w:lineRule="auto"/>
        <w:ind w:firstLine="560" w:firstLineChars="200"/>
        <w:jc w:val="left"/>
        <w:rPr>
          <w:rFonts w:hint="eastAsia" w:ascii="仿宋" w:hAnsi="仿宋" w:eastAsia="仿宋" w:cstheme="minorBidi"/>
          <w:color w:val="auto"/>
          <w:sz w:val="28"/>
          <w:szCs w:val="28"/>
          <w:highlight w:val="none"/>
          <w:lang w:eastAsia="zh-CN"/>
        </w:rPr>
      </w:pPr>
      <w:r>
        <w:rPr>
          <w:rFonts w:hint="eastAsia" w:ascii="仿宋" w:hAnsi="仿宋" w:eastAsia="仿宋"/>
          <w:color w:val="auto"/>
          <w:sz w:val="28"/>
          <w:szCs w:val="28"/>
          <w:highlight w:val="none"/>
          <w:lang w:val="en-US" w:eastAsia="zh-CN"/>
        </w:rPr>
        <w:t>3.综合管理费:参选机构需向医院缴纳综合管理费用，该项费用分为固定与递增两部分，每年综合管理费用（固定）不低于80万元，</w:t>
      </w:r>
      <w:r>
        <w:rPr>
          <w:rFonts w:hint="eastAsia" w:ascii="仿宋" w:hAnsi="仿宋" w:eastAsia="仿宋" w:cstheme="minorBidi"/>
          <w:color w:val="auto"/>
          <w:sz w:val="28"/>
          <w:szCs w:val="28"/>
          <w:highlight w:val="none"/>
          <w:lang w:eastAsia="zh-CN"/>
        </w:rPr>
        <w:t>第一年综合管理费用（固定）参选机构应在合同签订后30日内一次性缴纳</w:t>
      </w:r>
      <w:r>
        <w:rPr>
          <w:rFonts w:hint="eastAsia" w:ascii="仿宋" w:hAnsi="仿宋" w:eastAsia="仿宋"/>
          <w:color w:val="auto"/>
          <w:sz w:val="28"/>
          <w:szCs w:val="28"/>
          <w:highlight w:val="none"/>
          <w:lang w:val="en-US" w:eastAsia="zh-CN"/>
        </w:rPr>
        <w:t>；每年综合管理费用（递增）</w:t>
      </w:r>
      <w:r>
        <w:rPr>
          <w:rFonts w:hint="eastAsia" w:ascii="仿宋" w:hAnsi="仿宋" w:eastAsia="仿宋" w:cstheme="minorBidi"/>
          <w:color w:val="auto"/>
          <w:sz w:val="28"/>
          <w:szCs w:val="28"/>
          <w:highlight w:val="none"/>
          <w:lang w:eastAsia="zh-CN"/>
        </w:rPr>
        <w:t>以上一年度综合管理费</w:t>
      </w:r>
      <w:r>
        <w:rPr>
          <w:rFonts w:hint="eastAsia" w:ascii="仿宋" w:hAnsi="仿宋" w:eastAsia="仿宋" w:cstheme="minorBidi"/>
          <w:b w:val="0"/>
          <w:bCs w:val="0"/>
          <w:color w:val="auto"/>
          <w:sz w:val="28"/>
          <w:szCs w:val="28"/>
          <w:highlight w:val="none"/>
        </w:rPr>
        <w:t>（固定）</w:t>
      </w:r>
      <w:r>
        <w:rPr>
          <w:rFonts w:hint="eastAsia" w:ascii="仿宋" w:hAnsi="仿宋" w:eastAsia="仿宋" w:cstheme="minorBidi"/>
          <w:color w:val="auto"/>
          <w:sz w:val="28"/>
          <w:szCs w:val="28"/>
          <w:highlight w:val="none"/>
          <w:lang w:eastAsia="zh-CN"/>
        </w:rPr>
        <w:t>为基础逐年递增，</w:t>
      </w:r>
      <w:r>
        <w:rPr>
          <w:rFonts w:hint="eastAsia" w:ascii="仿宋" w:hAnsi="仿宋" w:eastAsia="仿宋" w:cstheme="minorBidi"/>
          <w:color w:val="auto"/>
          <w:sz w:val="28"/>
          <w:szCs w:val="28"/>
          <w:highlight w:val="none"/>
        </w:rPr>
        <w:t>每年递增比例不得低于5%</w:t>
      </w:r>
      <w:r>
        <w:rPr>
          <w:rFonts w:hint="eastAsia" w:ascii="仿宋" w:hAnsi="仿宋" w:eastAsia="仿宋" w:cstheme="minorBidi"/>
          <w:color w:val="auto"/>
          <w:sz w:val="28"/>
          <w:szCs w:val="28"/>
          <w:highlight w:val="none"/>
          <w:lang w:eastAsia="zh-CN"/>
        </w:rPr>
        <w:t>，即第</w:t>
      </w:r>
      <w:r>
        <w:rPr>
          <w:rFonts w:hint="eastAsia" w:ascii="仿宋" w:hAnsi="仿宋" w:eastAsia="仿宋" w:cstheme="minorBidi"/>
          <w:color w:val="auto"/>
          <w:sz w:val="28"/>
          <w:szCs w:val="28"/>
          <w:highlight w:val="none"/>
          <w:lang w:val="en-US" w:eastAsia="zh-CN"/>
        </w:rPr>
        <w:t>n年综合管理费用=</w:t>
      </w:r>
      <w:r>
        <w:rPr>
          <w:rFonts w:hint="eastAsia" w:ascii="仿宋" w:hAnsi="仿宋" w:eastAsia="仿宋"/>
          <w:color w:val="auto"/>
          <w:sz w:val="28"/>
          <w:szCs w:val="28"/>
          <w:highlight w:val="none"/>
          <w:lang w:val="en-US" w:eastAsia="zh-CN"/>
        </w:rPr>
        <w:t>综合管理费用（固定）</w:t>
      </w:r>
      <m:oMath>
        <m:r>
          <m:rPr>
            <m:sty m:val="p"/>
          </m:rPr>
          <w:rPr>
            <w:rFonts w:ascii="Cambria Math" w:hAnsi="Cambria Math"/>
            <w:color w:val="auto"/>
            <w:sz w:val="28"/>
            <w:szCs w:val="28"/>
            <w:highlight w:val="none"/>
            <w:lang w:val="en-US"/>
          </w:rPr>
          <m:t>×</m:t>
        </m:r>
        <m:sSup>
          <m:sSupPr>
            <m:ctrlPr>
              <w:rPr>
                <w:rFonts w:hint="default" w:ascii="Cambria Math" w:hAnsi="Cambria Math" w:eastAsia="仿宋" w:cstheme="minorBidi"/>
                <w:color w:val="auto"/>
                <w:kern w:val="2"/>
                <w:sz w:val="28"/>
                <w:szCs w:val="28"/>
                <w:highlight w:val="none"/>
                <w:lang w:val="en-US" w:eastAsia="zh-CN" w:bidi="ar-SA"/>
              </w:rPr>
            </m:ctrlPr>
          </m:sSupPr>
          <m:e>
            <m:r>
              <m:rPr>
                <m:sty m:val="p"/>
              </m:rPr>
              <w:rPr>
                <w:rFonts w:hint="default" w:ascii="Cambria Math" w:hAnsi="Cambria Math" w:eastAsia="仿宋" w:cstheme="minorBidi"/>
                <w:color w:val="auto"/>
                <w:kern w:val="2"/>
                <w:sz w:val="28"/>
                <w:szCs w:val="28"/>
                <w:highlight w:val="none"/>
                <w:lang w:val="en-US" w:eastAsia="zh-CN" w:bidi="ar-SA"/>
              </w:rPr>
              <m:t>(1+r)</m:t>
            </m:r>
            <m:ctrlPr>
              <w:rPr>
                <w:rFonts w:hint="default" w:ascii="Cambria Math" w:hAnsi="Cambria Math" w:eastAsia="仿宋" w:cstheme="minorBidi"/>
                <w:color w:val="auto"/>
                <w:kern w:val="2"/>
                <w:sz w:val="28"/>
                <w:szCs w:val="28"/>
                <w:highlight w:val="none"/>
                <w:lang w:val="en-US" w:eastAsia="zh-CN" w:bidi="ar-SA"/>
              </w:rPr>
            </m:ctrlPr>
          </m:e>
          <m:sup>
            <m:r>
              <m:rPr>
                <m:sty m:val="p"/>
              </m:rPr>
              <w:rPr>
                <w:rFonts w:hint="default" w:ascii="Cambria Math" w:hAnsi="Cambria Math" w:eastAsia="仿宋" w:cstheme="minorBidi"/>
                <w:color w:val="auto"/>
                <w:kern w:val="2"/>
                <w:sz w:val="28"/>
                <w:szCs w:val="28"/>
                <w:highlight w:val="none"/>
                <w:lang w:val="en-US" w:eastAsia="zh-CN" w:bidi="ar-SA"/>
              </w:rPr>
              <m:t>n−1</m:t>
            </m:r>
            <m:ctrlPr>
              <w:rPr>
                <w:rFonts w:hint="default" w:ascii="Cambria Math" w:hAnsi="Cambria Math" w:eastAsia="仿宋" w:cstheme="minorBidi"/>
                <w:color w:val="auto"/>
                <w:kern w:val="2"/>
                <w:sz w:val="28"/>
                <w:szCs w:val="28"/>
                <w:highlight w:val="none"/>
                <w:lang w:val="en-US" w:eastAsia="zh-CN" w:bidi="ar-SA"/>
              </w:rPr>
            </m:ctrlPr>
          </m:sup>
        </m:sSup>
      </m:oMath>
      <w:r>
        <w:rPr>
          <w:rFonts w:hint="eastAsia" w:hAnsi="Cambria Math" w:eastAsia="仿宋" w:cstheme="minorBidi"/>
          <w:i w:val="0"/>
          <w:color w:val="auto"/>
          <w:kern w:val="2"/>
          <w:sz w:val="28"/>
          <w:szCs w:val="28"/>
          <w:highlight w:val="none"/>
          <w:lang w:val="en-US" w:eastAsia="zh-CN" w:bidi="ar-SA"/>
        </w:rPr>
        <w:t xml:space="preserve"> ，</w:t>
      </w:r>
      <w:r>
        <w:rPr>
          <w:rFonts w:hint="eastAsia" w:ascii="仿宋" w:hAnsi="仿宋" w:eastAsia="仿宋"/>
          <w:color w:val="auto"/>
          <w:sz w:val="28"/>
          <w:szCs w:val="28"/>
          <w:highlight w:val="none"/>
          <w:lang w:val="en-US" w:eastAsia="zh-CN"/>
        </w:rPr>
        <w:t>n表示第几年，r为增长率</w:t>
      </w:r>
      <w:r>
        <w:rPr>
          <w:rFonts w:hint="eastAsia" w:ascii="仿宋" w:hAnsi="仿宋" w:eastAsia="仿宋" w:cstheme="minorBidi"/>
          <w:color w:val="auto"/>
          <w:sz w:val="28"/>
          <w:szCs w:val="28"/>
          <w:highlight w:val="none"/>
          <w:lang w:eastAsia="zh-CN"/>
        </w:rPr>
        <w:t>。</w:t>
      </w:r>
    </w:p>
    <w:p>
      <w:pPr>
        <w:spacing w:line="360" w:lineRule="auto"/>
        <w:ind w:firstLine="560" w:firstLineChars="200"/>
        <w:jc w:val="left"/>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lang w:val="en-US" w:eastAsia="zh-CN"/>
        </w:rPr>
        <w:t>4.能耗费：参选机构根据政府的相关标准和计量数据，每月定期按医院内部结算规定向医院交纳水、电、天然气等能源费。</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5.委托经营期限：项目合作期限为五年，协议一年一签，年度综合考核合格后（包括满意度、安全生产、环境卫生等指标）再续签第2年。</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就餐收费系统：要求使用医院现有就餐收银系统，依据医院职工刷卡就餐金额，每月与参选机构结算一次，参选机构提供等额发票，医院按照合同约定支付至参选机构账户。医院有权对参选机构收费系统进行全面监管，收费权由医院进行管理，参选机构每月需与医院核对收银系统收款金额。</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7.遴选费用：参选机构应承担其编制参选文件与递交参选文件所涉及的一切费用。不论参选结果如何，医院都不承担这些费用。</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8.履约保证金：履约保证金30万元。参选一旦中标，中标者在合同签订后5日内一次性缴纳。</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8.1若在合同期内，因参选机构原因导致医院的设备设施出现损坏、遗失或其他任何形式的损失，医院有权从履约保证金中扣除相应金额用于维修、更换或弥补损失。若履约保证金不足以覆盖全部损失，不足部分则需按照实际损失额度另行支付。</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8.2参选机构违反《中华人民共和国食品安全法》或违反合同或没有按合同经营至合同期满或经营期内不正常营业给医院造成各种损失的，医院可直接从该履约保证金扣除应收取的违约金或赔偿金。若履约保证金不足以覆盖全部损失，不足部分则需按照实际损失额度另行支付。</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8.3在扣除任何违约金或赔偿金之后，参选机构应对履约保证金进行补足。如果履约保证金扣除后参选机构1个月内未及时补足的，医院有权单方面终止合同且不承担法律责任，所造成的损失由参选机构自行承担。</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8.4在整个合同有效期内，未发生任何导致履约保证金被扣除的违约情形，经医院确认后将履约保证金无息全额退还。</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9.踏勘现场</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9.1参选机构踏勘进入现场，须经我院同意。踏勘时参选机构及其人员不得因此使医院及其人员承担有关的责任和蒙受损失。参选机构应承担踏勘现场的责任和风险。</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9.2医院向参选机构提供的有关现场的资料和数据，是医院现有的能使参选机构利用的资料，医院对参选机构由此而做出的推论、理解和结论概不负责。</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10.其他条件：</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10.1参选机构应承诺保持所委托经营的房产原状和用途。确需对房屋进行装修、改造，必须经医院允许在不影响房屋结构的情况下进行，医院不承担任何费用。食堂的任何维修、维护费用由参选机构自行承担，如因参选机构原因造成医院房屋损坏的，由参选机构承担全部责任。</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10.2参选机构不得将食堂私自转让或委托他人经营，更不能利用医院资产搞不法经营。一经发现，医院有权取消其委托经营资格，并要求其承担违约责任或诉诸法律。</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11.总配置人员不少于16人，参选机构应为本项目配置具有营养师资格证书的专职营养师，国家级中式烹调师，中（西）式面点师。</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12.经营期间医院每月对食堂服务进行综合考核（包括职工满意度、患者满意度、安全生产），考核得分每合同年连续三次低于80分或累计六次低于80分，医院有权随时终止合同，并不予任何补偿，对造成的不良后果，由参选机构承担全部责任。</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13.参选机构必须无条件配合医院做好餐饮服务。</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14.服务原则：确保饮食安全，以服务患者、职工、体检人员、手术人员、进修实习人员为主，微利经营;经营期内医院职工、病员本着自愿原则就餐。</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15.安全生产工作要求：</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15.1食品安全：参选机构在经营活动中要严格遵守《中华人民共和国食品安全法》、《中华人民共和国食品安全法实施条例》等法律法规，遵守《餐饮业和集体送餐配送单位卫生规范》、医院餐饮消毒技术规范，医院感染管理规范等行业规范及医院的各项管理规定。完成医院管理中的各项指标和要求。经营花色品种齐全，价格合理。制定服务水平、饭菜品种、质量、价格水平、利润管理、环境卫生等方面的规章制度，并保证有效执行，经营过程中出现任何食品安全事件的由参选机构承担全部责任。</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15.2安全生产：参选机构在经营期内须做好食堂安全生产相关工作，重点是消防安全、水电气及房屋设施设备使用安全等。积极配合医院安全生产检查，如有安全隐患应主动整改。经营期内若发生安全生产事故或其他不良事件，由参选机构依法承担责任。</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15.3其他工作要求：地面每季度进行防滑处理,及时做好防滑标志,食堂经营过程中发生的人身、财产损失由参选机构承担;参选机构每半年需委托具有燃气报警器检测资质的第三方机构出具检测报告;每年负责油烟排放系统的清洗、维护、检测,要求对油烟检测资质的第三方机构出具的检测报告存档备查; 由参选机构负责按国家新的垃圾分类管理规定对食堂垃圾按规定进行分类处置，并应建立台账等相应记录;由医院提供的厨具、灶具等厨房设施(按交接清单)的维修维护由使用人负责。</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15.4参选机构需每月对厨房油烟烟罩及管道进行一次全面清洗，出具清洗报告、每年出具第三方油烟废气检测报告，并将相关报告提供给医院。</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15.5参选机构需每6个月进行一次燃气报警器检测维护，并出具检测报告提供给医院。</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15.6参选机构须购买公众责任险、食品安全责任险、员工的意外伤害保险和商用燃气综合保险。</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16.价格标准：为保证职工利益，食品饭菜价格以微利经营为标准，具体定价由医院相关主管部门及参选机构共同制定，原则上不高于医院现行物价水平。</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17.质量保证：饭菜质量好、色香味俱佳、花色品种齐全，严禁经营腐烂变质食品。原材料进货渠道正规，参选机构应保证检疫证件齐全。每月使用冻品金额不超过总原料金额的10%。</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18.监督考核：医院派专人负责食堂监督管理工作，负责协调参选机构与医院相关科室的工作关系、与就餐者的关系，按照国家相关法律法规、规范及医院相关规章制度，对参选机构的经营状况、食品卫生、饭菜质量、花色品种、价格、原材料购置渠道、食品留样观察、服务态度、综合治理、生产安全、从业人员情况、培训状况、操作规程、食品存储标准、患者治疗饮食工作的开展等进行监督、检查和指导，每月进行考核。</w:t>
      </w:r>
    </w:p>
    <w:p>
      <w:pPr>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19.参选机构在经营合同范围内，自行负责包括办公用品、工资、社保、加班费、住宿费、物料（劳保用品及安全防护费）法律规定的社会保险、福利补贴及管理费、利润及税金等费用。</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20.参选机构需根据医院包间设计方案对餐厅包间进行装修（包间中家具医院已采购）。</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21.参选机构一旦中标，必须保证2025年1月15日前完成进场、工作交接、并提供正常餐饮服务。</w:t>
      </w:r>
    </w:p>
    <w:p>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22.参选机构自行拟定方案现场讲解，时间控制在5分钟内。</w:t>
      </w:r>
    </w:p>
    <w:p>
      <w:pPr>
        <w:numPr>
          <w:ilvl w:val="0"/>
          <w:numId w:val="0"/>
        </w:numPr>
        <w:spacing w:line="360" w:lineRule="auto"/>
        <w:ind w:firstLine="560" w:firstLineChars="200"/>
        <w:jc w:val="both"/>
        <w:rPr>
          <w:rFonts w:hint="default"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备注：★</w:t>
      </w:r>
      <w:r>
        <w:rPr>
          <w:rFonts w:hint="eastAsia" w:ascii="仿宋" w:hAnsi="仿宋" w:eastAsia="仿宋"/>
          <w:b/>
          <w:bCs/>
          <w:sz w:val="28"/>
          <w:szCs w:val="28"/>
          <w:highlight w:val="none"/>
          <w:lang w:val="en-US" w:eastAsia="zh-CN"/>
        </w:rPr>
        <w:t>三、技术服务要求为实质性条款，需参选方提供承诺函（格式由参选方自拟）。</w:t>
      </w:r>
    </w:p>
    <w:p>
      <w:pPr>
        <w:spacing w:line="360" w:lineRule="auto"/>
        <w:ind w:firstLine="562" w:firstLineChars="200"/>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四、服务期限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项目服务期限：5年。</w:t>
      </w:r>
    </w:p>
    <w:p>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四川省妇幼保健院天府院区（地址：成都市双流区岐黄二路1515号）。</w:t>
      </w:r>
    </w:p>
    <w:p>
      <w:pPr>
        <w:spacing w:line="360" w:lineRule="auto"/>
        <w:ind w:firstLine="560" w:firstLineChars="200"/>
        <w:jc w:val="both"/>
        <w:rPr>
          <w:rFonts w:hint="eastAsia" w:ascii="仿宋" w:hAnsi="仿宋" w:eastAsia="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ind w:firstLine="643" w:firstLineChars="200"/>
        <w:jc w:val="left"/>
        <w:outlineLvl w:val="9"/>
        <w:rPr>
          <w:rFonts w:ascii="仿宋" w:hAnsi="仿宋" w:eastAsia="仿宋" w:cs="宋体"/>
          <w:b/>
          <w:bCs/>
          <w:sz w:val="32"/>
          <w:szCs w:val="32"/>
        </w:rPr>
      </w:pPr>
      <w:r>
        <w:rPr>
          <w:rFonts w:hint="eastAsia" w:ascii="仿宋" w:hAnsi="仿宋" w:eastAsia="仿宋" w:cs="宋体"/>
          <w:b/>
          <w:bCs/>
          <w:sz w:val="32"/>
          <w:szCs w:val="32"/>
        </w:rPr>
        <w:t>第二包：</w:t>
      </w:r>
      <w:r>
        <w:rPr>
          <w:rFonts w:hint="eastAsia" w:ascii="仿宋" w:hAnsi="仿宋" w:eastAsia="仿宋"/>
          <w:b/>
          <w:bCs/>
          <w:sz w:val="32"/>
          <w:szCs w:val="32"/>
          <w:lang w:eastAsia="zh-CN"/>
        </w:rPr>
        <w:t>天府院区咖啡吧经营项目</w:t>
      </w:r>
      <w:r>
        <w:rPr>
          <w:rFonts w:hint="eastAsia" w:ascii="仿宋" w:hAnsi="仿宋" w:eastAsia="仿宋"/>
          <w:b/>
          <w:bCs/>
          <w:sz w:val="28"/>
          <w:szCs w:val="28"/>
        </w:rPr>
        <w:t>（以下简称第二包）</w:t>
      </w:r>
      <w:r>
        <w:rPr>
          <w:rFonts w:hint="eastAsia" w:ascii="仿宋" w:hAnsi="仿宋" w:eastAsia="仿宋" w:cs="宋体"/>
          <w:b/>
          <w:bCs/>
          <w:sz w:val="32"/>
          <w:szCs w:val="32"/>
        </w:rPr>
        <w:t>，数量：1家</w:t>
      </w:r>
    </w:p>
    <w:p>
      <w:pPr>
        <w:autoSpaceDN w:val="0"/>
        <w:spacing w:line="560" w:lineRule="exact"/>
        <w:ind w:firstLine="28"/>
        <w:jc w:val="left"/>
        <w:rPr>
          <w:rFonts w:hint="eastAsia" w:ascii="仿宋_GB2312" w:hAnsi="仿宋_GB2312" w:eastAsia="仿宋_GB2312" w:cs="仿宋_GB2312"/>
          <w:b w:val="0"/>
          <w:bCs/>
          <w:sz w:val="32"/>
          <w:szCs w:val="32"/>
          <w:lang w:eastAsia="zh-CN"/>
        </w:rPr>
      </w:pPr>
    </w:p>
    <w:p>
      <w:pPr>
        <w:spacing w:line="360" w:lineRule="auto"/>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附件1-2</w:t>
      </w:r>
    </w:p>
    <w:p>
      <w:pPr>
        <w:adjustRightInd w:val="0"/>
        <w:snapToGrid w:val="0"/>
        <w:spacing w:line="480" w:lineRule="auto"/>
        <w:ind w:firstLine="640"/>
        <w:jc w:val="center"/>
        <w:outlineLvl w:val="9"/>
        <w:rPr>
          <w:rFonts w:hint="eastAsia" w:ascii="仿宋" w:hAnsi="仿宋" w:eastAsia="仿宋"/>
          <w:b/>
          <w:sz w:val="32"/>
          <w:szCs w:val="32"/>
          <w:lang w:eastAsia="zh-CN"/>
        </w:rPr>
      </w:pPr>
      <w:r>
        <w:rPr>
          <w:rFonts w:hint="eastAsia" w:ascii="仿宋" w:hAnsi="仿宋" w:eastAsia="仿宋"/>
          <w:b/>
          <w:sz w:val="32"/>
          <w:szCs w:val="32"/>
          <w:lang w:eastAsia="zh-CN"/>
        </w:rPr>
        <w:t>参选机构要求（第二包）</w:t>
      </w:r>
    </w:p>
    <w:p>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公开遴选一家专业性、规范性较强的饮品糕点合作经营机构，委托其经营我院天府院区咖啡吧，天府院区咖啡吧建筑面积约100平方米，合作机构自主经营、自负盈亏，为院区职工、患者及家属提供咖啡、牛乳奶茶、水果花草茶、鲜榨果汁、甜品甜点、冰淇淋、面包、蛋糕、糕点等简餐服务。</w:t>
      </w:r>
    </w:p>
    <w:p>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2.授权委托书（原件，格式见附件6）,法定代表人和授权代表有效的身份证复印件；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3.近三年内，参选机构无重大行贿犯罪记录，无重大负面新闻（提供承诺函原件）；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4.近三年内，参选机构未在经营活动中因违法行为（包括消防安全等问题）受到刑事处罚、处以罚款或者没收财产5万元以上、责令停产停业、吊销许可证或者执照等行政处罚（提供承诺函原件）；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6.参选机构遵守遴选纪律承诺书（提供承诺函原件，附件8）；</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7.本次遴选活动不接受联合体投标。</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注：①3—7均提供承诺函原件并加盖鲜章。</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w:t>
      </w:r>
    </w:p>
    <w:p>
      <w:pPr>
        <w:spacing w:line="360" w:lineRule="auto"/>
        <w:ind w:firstLine="560"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w:t>
      </w:r>
      <w:r>
        <w:rPr>
          <w:rFonts w:hint="eastAsia" w:ascii="仿宋" w:hAnsi="仿宋" w:eastAsia="仿宋"/>
          <w:b/>
          <w:bCs/>
          <w:sz w:val="28"/>
          <w:szCs w:val="28"/>
          <w:highlight w:val="none"/>
          <w:lang w:val="en-US" w:eastAsia="zh-CN"/>
        </w:rPr>
        <w:t>三、技术服务要求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1.医院现有咖啡吧的房屋、设施、设备、工具、用具等提供给参选机构使用。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2.经营方式：参选机构办理食品经营许可证，自主经营、自负盈亏、独立核算，发生的债权、债务与医院无关。</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3.品牌沿用要求：为了体现医院文化形象和传承，必须保持“佑宝”品牌的沿用，所使用咖啡豆必须获得IIAC金奖产品，所加配的牛奶必须为市场主流品牌。</w:t>
      </w:r>
    </w:p>
    <w:p>
      <w:pPr>
        <w:spacing w:line="360" w:lineRule="auto"/>
        <w:ind w:firstLine="560" w:firstLineChars="200"/>
        <w:jc w:val="left"/>
        <w:rPr>
          <w:rFonts w:hint="eastAsia" w:ascii="仿宋" w:hAnsi="仿宋" w:eastAsia="仿宋" w:cstheme="minorBidi"/>
          <w:color w:val="auto"/>
          <w:sz w:val="28"/>
          <w:szCs w:val="28"/>
          <w:highlight w:val="none"/>
          <w:lang w:eastAsia="zh-CN"/>
        </w:rPr>
      </w:pPr>
      <w:r>
        <w:rPr>
          <w:rFonts w:hint="eastAsia" w:ascii="仿宋" w:hAnsi="仿宋" w:eastAsia="仿宋"/>
          <w:color w:val="auto"/>
          <w:sz w:val="28"/>
          <w:szCs w:val="28"/>
          <w:highlight w:val="none"/>
          <w:lang w:val="en-US" w:eastAsia="zh-CN"/>
        </w:rPr>
        <w:t>4.综合管理费:参选机构需向医院缴纳综合管理费用，该项费用分为固定与递增两部分，每年综合管理费用（固定）不低于8万元；每年综合管理费用（递增）</w:t>
      </w:r>
      <w:r>
        <w:rPr>
          <w:rFonts w:hint="eastAsia" w:ascii="仿宋" w:hAnsi="仿宋" w:eastAsia="仿宋" w:cstheme="minorBidi"/>
          <w:color w:val="auto"/>
          <w:sz w:val="28"/>
          <w:szCs w:val="28"/>
          <w:highlight w:val="none"/>
          <w:lang w:eastAsia="zh-CN"/>
        </w:rPr>
        <w:t>以上一年度综合管理费</w:t>
      </w:r>
      <w:r>
        <w:rPr>
          <w:rFonts w:hint="eastAsia" w:ascii="仿宋" w:hAnsi="仿宋" w:eastAsia="仿宋" w:cstheme="minorBidi"/>
          <w:b w:val="0"/>
          <w:bCs w:val="0"/>
          <w:color w:val="auto"/>
          <w:sz w:val="28"/>
          <w:szCs w:val="28"/>
          <w:highlight w:val="none"/>
        </w:rPr>
        <w:t>（固定）</w:t>
      </w:r>
      <w:r>
        <w:rPr>
          <w:rFonts w:hint="eastAsia" w:ascii="仿宋" w:hAnsi="仿宋" w:eastAsia="仿宋" w:cstheme="minorBidi"/>
          <w:color w:val="auto"/>
          <w:sz w:val="28"/>
          <w:szCs w:val="28"/>
          <w:highlight w:val="none"/>
          <w:lang w:eastAsia="zh-CN"/>
        </w:rPr>
        <w:t>为基础逐年递增，</w:t>
      </w:r>
      <w:r>
        <w:rPr>
          <w:rFonts w:hint="eastAsia" w:ascii="仿宋" w:hAnsi="仿宋" w:eastAsia="仿宋" w:cstheme="minorBidi"/>
          <w:color w:val="auto"/>
          <w:sz w:val="28"/>
          <w:szCs w:val="28"/>
          <w:highlight w:val="none"/>
        </w:rPr>
        <w:t>每年递增比例不得低于5%</w:t>
      </w:r>
      <w:r>
        <w:rPr>
          <w:rFonts w:hint="eastAsia" w:ascii="仿宋" w:hAnsi="仿宋" w:eastAsia="仿宋" w:cstheme="minorBidi"/>
          <w:color w:val="auto"/>
          <w:sz w:val="28"/>
          <w:szCs w:val="28"/>
          <w:highlight w:val="none"/>
          <w:lang w:eastAsia="zh-CN"/>
        </w:rPr>
        <w:t>，即第</w:t>
      </w:r>
      <w:r>
        <w:rPr>
          <w:rFonts w:hint="eastAsia" w:ascii="仿宋" w:hAnsi="仿宋" w:eastAsia="仿宋" w:cstheme="minorBidi"/>
          <w:color w:val="auto"/>
          <w:sz w:val="28"/>
          <w:szCs w:val="28"/>
          <w:highlight w:val="none"/>
          <w:lang w:val="en-US" w:eastAsia="zh-CN"/>
        </w:rPr>
        <w:t>n年综合管理费用=</w:t>
      </w:r>
      <w:r>
        <w:rPr>
          <w:rFonts w:hint="eastAsia" w:ascii="仿宋" w:hAnsi="仿宋" w:eastAsia="仿宋"/>
          <w:color w:val="auto"/>
          <w:sz w:val="28"/>
          <w:szCs w:val="28"/>
          <w:highlight w:val="none"/>
          <w:lang w:val="en-US" w:eastAsia="zh-CN"/>
        </w:rPr>
        <w:t>综合管理费用（固定）</w:t>
      </w:r>
      <m:oMath>
        <m:r>
          <m:rPr>
            <m:sty m:val="p"/>
          </m:rPr>
          <w:rPr>
            <w:rFonts w:ascii="Cambria Math" w:hAnsi="Cambria Math"/>
            <w:color w:val="auto"/>
            <w:sz w:val="28"/>
            <w:szCs w:val="28"/>
            <w:highlight w:val="none"/>
            <w:lang w:val="en-US"/>
          </w:rPr>
          <m:t>×</m:t>
        </m:r>
        <m:sSup>
          <m:sSupPr>
            <m:ctrlPr>
              <w:rPr>
                <w:rFonts w:hint="default" w:ascii="Cambria Math" w:hAnsi="Cambria Math" w:eastAsia="仿宋" w:cstheme="minorBidi"/>
                <w:color w:val="auto"/>
                <w:kern w:val="2"/>
                <w:sz w:val="28"/>
                <w:szCs w:val="28"/>
                <w:highlight w:val="none"/>
                <w:lang w:val="en-US" w:eastAsia="zh-CN" w:bidi="ar-SA"/>
              </w:rPr>
            </m:ctrlPr>
          </m:sSupPr>
          <m:e>
            <m:r>
              <m:rPr>
                <m:sty m:val="p"/>
              </m:rPr>
              <w:rPr>
                <w:rFonts w:hint="default" w:ascii="Cambria Math" w:hAnsi="Cambria Math" w:eastAsia="仿宋" w:cstheme="minorBidi"/>
                <w:color w:val="auto"/>
                <w:kern w:val="2"/>
                <w:sz w:val="28"/>
                <w:szCs w:val="28"/>
                <w:highlight w:val="none"/>
                <w:lang w:val="en-US" w:eastAsia="zh-CN" w:bidi="ar-SA"/>
              </w:rPr>
              <m:t>(1+r)</m:t>
            </m:r>
            <m:ctrlPr>
              <w:rPr>
                <w:rFonts w:hint="default" w:ascii="Cambria Math" w:hAnsi="Cambria Math" w:eastAsia="仿宋" w:cstheme="minorBidi"/>
                <w:color w:val="auto"/>
                <w:kern w:val="2"/>
                <w:sz w:val="28"/>
                <w:szCs w:val="28"/>
                <w:highlight w:val="none"/>
                <w:lang w:val="en-US" w:eastAsia="zh-CN" w:bidi="ar-SA"/>
              </w:rPr>
            </m:ctrlPr>
          </m:e>
          <m:sup>
            <m:r>
              <m:rPr>
                <m:sty m:val="p"/>
              </m:rPr>
              <w:rPr>
                <w:rFonts w:hint="default" w:ascii="Cambria Math" w:hAnsi="Cambria Math" w:eastAsia="仿宋" w:cstheme="minorBidi"/>
                <w:color w:val="auto"/>
                <w:kern w:val="2"/>
                <w:sz w:val="28"/>
                <w:szCs w:val="28"/>
                <w:highlight w:val="none"/>
                <w:lang w:val="en-US" w:eastAsia="zh-CN" w:bidi="ar-SA"/>
              </w:rPr>
              <m:t>n−1</m:t>
            </m:r>
            <m:ctrlPr>
              <w:rPr>
                <w:rFonts w:hint="default" w:ascii="Cambria Math" w:hAnsi="Cambria Math" w:eastAsia="仿宋" w:cstheme="minorBidi"/>
                <w:color w:val="auto"/>
                <w:kern w:val="2"/>
                <w:sz w:val="28"/>
                <w:szCs w:val="28"/>
                <w:highlight w:val="none"/>
                <w:lang w:val="en-US" w:eastAsia="zh-CN" w:bidi="ar-SA"/>
              </w:rPr>
            </m:ctrlPr>
          </m:sup>
        </m:sSup>
      </m:oMath>
      <w:r>
        <w:rPr>
          <w:rFonts w:hint="eastAsia" w:hAnsi="Cambria Math" w:eastAsia="仿宋" w:cstheme="minorBidi"/>
          <w:i w:val="0"/>
          <w:color w:val="auto"/>
          <w:kern w:val="2"/>
          <w:sz w:val="28"/>
          <w:szCs w:val="28"/>
          <w:highlight w:val="none"/>
          <w:lang w:val="en-US" w:eastAsia="zh-CN" w:bidi="ar-SA"/>
        </w:rPr>
        <w:t xml:space="preserve"> ，</w:t>
      </w:r>
      <w:r>
        <w:rPr>
          <w:rFonts w:hint="eastAsia" w:ascii="仿宋" w:hAnsi="仿宋" w:eastAsia="仿宋"/>
          <w:color w:val="auto"/>
          <w:sz w:val="28"/>
          <w:szCs w:val="28"/>
          <w:highlight w:val="none"/>
          <w:lang w:val="en-US" w:eastAsia="zh-CN"/>
        </w:rPr>
        <w:t>n表示第几年，r为增长率</w:t>
      </w:r>
      <w:r>
        <w:rPr>
          <w:rFonts w:hint="eastAsia" w:ascii="仿宋" w:hAnsi="仿宋" w:eastAsia="仿宋" w:cstheme="minorBidi"/>
          <w:color w:val="auto"/>
          <w:sz w:val="28"/>
          <w:szCs w:val="28"/>
          <w:highlight w:val="none"/>
          <w:lang w:eastAsia="zh-CN"/>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5.活动支持费用：合作经营机构需为院方组织的活动提供不低于3万元/年饮品糕点支持。</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6.能耗费：参选机构根据政府的相关标准和计量数据，每月定期按医院内部结算规定向医院交纳水、电、天然气等能源费。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收费系统：要求使用医院现有就餐收银系统，依据医院职工刷卡就餐金额，每月与参选机构结算一次，参选机构提供等额发票，医院按照合同约定支付至参选机构账户。医院有权对参选机构收费系统进行全面监管，收费权由医院进行管理，参选机构每月需与医院核对收银系统收款金额。</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8.委托经营期限：项目合作期限为五年，协议一年一签，年度综合考核合格后（包括满意度、安全生产、环境卫生等指标）再续签第2年。</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9.遴选费用：参选机构应承担其编制参选文件与递交参选文件所涉及的一切费用。不论参选结果如何，医院都不承担这些费用。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10.履约保证金：履约保证金5万元。参选一旦中标，中标者在合同签订后5日内一次性缴纳。</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10.1若在合同期内，因参选机构原因导致医院的设备设施出现损坏、遗失或其他任何形式的损失，医院有权从履约保证金中扣除相应金额用于维修、更换或弥补损失。若履约保证金不足以覆盖全部损失，不足部分则需按照实际损失额度另行支付。</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10.2参选机构违反《中华人民共和国食品安全法》或违反合同或没有按合同经营至合同期满或经营期内不正常营业给医院造成各种损失的，医院可直接从该履约保证金扣除应收取的违约金或赔偿金。若履约保证金不足以覆盖全部损失，不足部分则需按照实际损失额度另行支付。</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10.3在扣除任何违约金或赔偿金之后，参选机构应对履约保证金进行补足。如果履约保证金扣除后参选机构1个月内未及时补足的，医院有权单方面终止合同且不承担法律责任，所造成的损失由参选机构自行承担。</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10.4在整个合同有效期内，未发生任何导致履约保证金被扣除的违约情形，经医院确认后将履约保证金无息全额退还。</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11.踏勘现场</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11.1参选机构踏勘进入现场，须经我院同意。踏勘时参选机构及其人员不得因此使医院及其人员承担有关的责任和蒙受损失。参选机构应承担踏勘现场的责任和风险。</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11.2医院向参选机构提供的有关现场的资料和数据，是医院现有的能使参选机构利用的资料，医院对参选机构由此而做出的推论、理解和结论概不负责。</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12.总配置人员不少于2人。</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经营期间医院每月对咖啡吧服务进行综合考核（包括职工满意度、安全生产），考核得分每合同年连续三次低于80分或累计六次低于80分，医院有权随时终止合同，并不予任何补偿，对造成的不良后果，由参选机构承担全部责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14.参选机构必须无条件配合医院做好餐饮服务。</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15.服务原则：确保饮食安全，以服务患者、职工、体检人员、手术人员、进修实习人员为主，微利经营;经营期内医院职工、病员本着自愿原则就餐。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16.安全生产工作要求：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16.1食品安全：参选机构在经营活动中要严格遵守《中华人民共和国食品安全法》、《中华人民共和国食品安全法实施条例》等法律法规，遵守《餐饮业和集体送餐配送单位卫生规范》、医院餐饮消毒技术规范，医院感染管理规范等行业规范及医院的各项管理规定。完成医院管理中的各项指标和要求。经营花色品种齐全，价格合理。制定服务水平、饮品品种、质量、价格水平、利润管理、环境卫生等方面的规章制度，并保证有效执行，经营过程中出现任何食品安全事件的由参选机构承担全部责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16.2安全生产：参选机构在经营期内须做好咖啡吧安全生产相关工作，重点是消防安全、水电气及房屋设施设备使用安全等。积极配合医院安全生产检查，如有安全隐患应主动整改。经营期内若发生安全生产事故或其他不良事件，由参选机构依法承担责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16.3其他工作要求：地面每季度进行防滑处理,及时做好防滑标志,咖啡吧经营过程中发生的人身、财产损失由参选机构承担;</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17.监督考核：医院派专人负责咖啡吧监督管理工作，负责协调参选机构与医院相关科室的工作关系、与就餐者的关系，按照国家相关法律法规、规范及医院相关规章制度，对参选机构的经营状况、食品卫生、花色品种、价格、原材料购置渠道、服务态度、综合治理、生产安全、从业人员情况、培训状况、操作规程、食品存储标准等进行监督、检查和指导，每月进行考核。</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18.价格标准：为保证职工利益，咖啡吧价格以微利经营为标准，具体定价由医院相关主管部门及参选机构共同制定，原则上不高于医院现行物价水平。</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19.参选机构须购买公众责任险、食品安全责任险、员工的意外伤害保险。</w:t>
      </w:r>
    </w:p>
    <w:p>
      <w:pPr>
        <w:spacing w:line="360" w:lineRule="auto"/>
        <w:ind w:firstLine="560" w:firstLineChars="20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20.参选机构在经营合同范围内，自行负责包括办公用品、工资、社保、加班费、住宿费、物料（劳保用品及安全防护费）法律规定的社会保险、福利补贴及管理费、利润及税金等费用。</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21.参选机构自行拟定方案现场讲解，时间控制在5分钟内。</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22.其他条件：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22.1参选机构应承诺保持所委托经营的房产原状和用途。确需对房屋进行装修、改造，必须经医院允许在不影响房屋结构的情况下进行，医院不承担任何费用。咖啡吧的任何维修、维护费用由参选机构自行承担，如因参选机构原因造成医院房屋损坏的，由参选机构承担全部责任。</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22.2参选机构不得将咖啡吧私自转让或委托他人经营，更不能利用医院资产搞不法经营。一经发现，医院有权取消其委托经营资格，并要求其承担违约责任或诉诸法律。</w:t>
      </w:r>
    </w:p>
    <w:p>
      <w:pPr>
        <w:spacing w:line="360" w:lineRule="auto"/>
        <w:ind w:firstLine="560" w:firstLineChars="200"/>
        <w:jc w:val="both"/>
        <w:rPr>
          <w:rFonts w:hint="default"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备注：★</w:t>
      </w:r>
      <w:r>
        <w:rPr>
          <w:rFonts w:hint="eastAsia" w:ascii="仿宋" w:hAnsi="仿宋" w:eastAsia="仿宋"/>
          <w:b/>
          <w:bCs/>
          <w:sz w:val="28"/>
          <w:szCs w:val="28"/>
          <w:highlight w:val="none"/>
          <w:lang w:val="en-US" w:eastAsia="zh-CN"/>
        </w:rPr>
        <w:t>三、技术服务要求为实质性条款，需参选方提供承诺函（格式由参选方自拟）。</w:t>
      </w:r>
    </w:p>
    <w:p>
      <w:pPr>
        <w:spacing w:line="360" w:lineRule="auto"/>
        <w:ind w:firstLine="562" w:firstLineChars="200"/>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四、服务期限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项目服务期限：5年。</w:t>
      </w:r>
    </w:p>
    <w:p>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四川省妇幼保健院天府院区（地址：成都市双流区岐黄二路1515号）。</w:t>
      </w:r>
    </w:p>
    <w:p>
      <w:pPr>
        <w:outlineLvl w:val="9"/>
        <w:rPr>
          <w:rFonts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pPr>
        <w:outlineLvl w:val="0"/>
        <w:rPr>
          <w:rFonts w:hint="default" w:ascii="仿宋" w:hAnsi="仿宋" w:eastAsia="仿宋"/>
          <w:b/>
          <w:bCs/>
          <w:sz w:val="28"/>
          <w:szCs w:val="28"/>
          <w:lang w:val="en-US" w:eastAsia="zh-CN"/>
        </w:rPr>
      </w:pPr>
      <w:r>
        <w:rPr>
          <w:rFonts w:ascii="仿宋" w:hAnsi="仿宋" w:eastAsia="仿宋"/>
          <w:b/>
          <w:bCs/>
          <w:sz w:val="28"/>
          <w:szCs w:val="28"/>
        </w:rPr>
        <w:t>附件</w:t>
      </w:r>
      <w:r>
        <w:rPr>
          <w:rFonts w:hint="eastAsia" w:ascii="仿宋" w:hAnsi="仿宋" w:eastAsia="仿宋"/>
          <w:b/>
          <w:bCs/>
          <w:sz w:val="28"/>
          <w:szCs w:val="28"/>
        </w:rPr>
        <w:t>2</w:t>
      </w:r>
      <w:r>
        <w:rPr>
          <w:rFonts w:hint="eastAsia" w:ascii="仿宋" w:hAnsi="仿宋" w:eastAsia="仿宋"/>
          <w:b/>
          <w:bCs/>
          <w:sz w:val="28"/>
          <w:szCs w:val="28"/>
          <w:lang w:val="en-US" w:eastAsia="zh-CN"/>
        </w:rPr>
        <w:t>-1</w:t>
      </w:r>
    </w:p>
    <w:p>
      <w:pPr>
        <w:adjustRightInd w:val="0"/>
        <w:snapToGrid w:val="0"/>
        <w:spacing w:line="480" w:lineRule="auto"/>
        <w:ind w:firstLine="640" w:firstLineChars="0"/>
        <w:jc w:val="center"/>
        <w:outlineLvl w:val="1"/>
        <w:rPr>
          <w:rFonts w:hint="eastAsia" w:ascii="仿宋" w:hAnsi="仿宋" w:eastAsia="仿宋"/>
          <w:b/>
          <w:sz w:val="32"/>
          <w:szCs w:val="28"/>
          <w:lang w:eastAsia="zh-CN"/>
        </w:rPr>
      </w:pPr>
      <w:r>
        <w:rPr>
          <w:rFonts w:hint="eastAsia" w:ascii="仿宋" w:hAnsi="仿宋" w:eastAsia="仿宋"/>
          <w:b/>
          <w:sz w:val="32"/>
          <w:szCs w:val="28"/>
        </w:rPr>
        <w:t>合作方案基本格式</w:t>
      </w:r>
      <w:r>
        <w:rPr>
          <w:rFonts w:hint="eastAsia" w:ascii="仿宋" w:hAnsi="仿宋" w:eastAsia="仿宋"/>
          <w:b/>
          <w:sz w:val="32"/>
          <w:szCs w:val="28"/>
          <w:lang w:eastAsia="zh-CN"/>
        </w:rPr>
        <w:t>（第一包）</w:t>
      </w:r>
    </w:p>
    <w:p>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color w:val="000000"/>
          <w:sz w:val="28"/>
          <w:lang w:val="en-US" w:eastAsia="zh-CN"/>
        </w:rPr>
        <w:t>1.</w:t>
      </w:r>
      <w:r>
        <w:rPr>
          <w:rFonts w:hint="eastAsia" w:ascii="仿宋" w:hAnsi="仿宋" w:eastAsia="仿宋" w:cs="仿宋"/>
          <w:color w:val="000000"/>
          <w:sz w:val="28"/>
          <w:lang w:eastAsia="zh-CN"/>
        </w:rPr>
        <w:t>服务方案，包括管理方案，实施方案，</w:t>
      </w:r>
      <w:r>
        <w:rPr>
          <w:rFonts w:hint="eastAsia" w:ascii="仿宋" w:hAnsi="仿宋" w:eastAsia="仿宋" w:cs="仿宋"/>
          <w:bCs w:val="0"/>
          <w:color w:val="000000"/>
          <w:sz w:val="28"/>
          <w:szCs w:val="22"/>
        </w:rPr>
        <w:t>应急处置（保障）方案</w:t>
      </w:r>
      <w:r>
        <w:rPr>
          <w:rFonts w:hint="eastAsia" w:ascii="仿宋" w:hAnsi="仿宋" w:eastAsia="仿宋" w:cs="仿宋"/>
          <w:bCs w:val="0"/>
          <w:color w:val="000000"/>
          <w:sz w:val="28"/>
          <w:szCs w:val="22"/>
          <w:lang w:eastAsia="zh-CN"/>
        </w:rPr>
        <w:t>，</w:t>
      </w:r>
      <w:r>
        <w:rPr>
          <w:rFonts w:hint="eastAsia" w:ascii="仿宋" w:hAnsi="仿宋" w:eastAsia="仿宋" w:cs="仿宋"/>
          <w:bCs w:val="0"/>
          <w:color w:val="000000"/>
          <w:sz w:val="28"/>
          <w:szCs w:val="22"/>
        </w:rPr>
        <w:t>运营服务方案</w:t>
      </w:r>
      <w:r>
        <w:rPr>
          <w:rFonts w:hint="eastAsia" w:ascii="仿宋" w:hAnsi="仿宋" w:eastAsia="仿宋" w:cs="仿宋"/>
          <w:bCs w:val="0"/>
          <w:color w:val="000000"/>
          <w:sz w:val="28"/>
          <w:szCs w:val="22"/>
          <w:lang w:eastAsia="zh-CN"/>
        </w:rPr>
        <w:t>等。</w:t>
      </w:r>
    </w:p>
    <w:p>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bCs w:val="0"/>
          <w:color w:val="000000"/>
          <w:sz w:val="28"/>
          <w:szCs w:val="22"/>
          <w:lang w:val="en-US" w:eastAsia="zh-CN"/>
        </w:rPr>
        <w:t>2.</w:t>
      </w:r>
      <w:r>
        <w:rPr>
          <w:rFonts w:hint="eastAsia" w:ascii="仿宋" w:hAnsi="仿宋" w:eastAsia="仿宋" w:cs="仿宋"/>
          <w:bCs w:val="0"/>
          <w:color w:val="000000"/>
          <w:sz w:val="28"/>
          <w:szCs w:val="22"/>
        </w:rPr>
        <w:t>拟投入本项目的人员</w:t>
      </w:r>
      <w:r>
        <w:rPr>
          <w:rFonts w:hint="eastAsia" w:ascii="仿宋" w:hAnsi="仿宋" w:eastAsia="仿宋" w:cs="仿宋"/>
          <w:bCs w:val="0"/>
          <w:color w:val="000000"/>
          <w:sz w:val="28"/>
          <w:szCs w:val="22"/>
          <w:lang w:eastAsia="zh-CN"/>
        </w:rPr>
        <w:t>及相关资格认证。</w:t>
      </w:r>
    </w:p>
    <w:p>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3</w:t>
      </w:r>
      <w:r>
        <w:rPr>
          <w:rFonts w:hint="eastAsia" w:ascii="仿宋" w:hAnsi="仿宋" w:eastAsia="仿宋" w:cs="仿宋"/>
          <w:color w:val="000000"/>
          <w:sz w:val="28"/>
        </w:rPr>
        <w:t>.</w:t>
      </w:r>
      <w:r>
        <w:rPr>
          <w:rFonts w:ascii="仿宋" w:hAnsi="仿宋" w:eastAsia="仿宋" w:cs="仿宋"/>
          <w:color w:val="000000"/>
          <w:sz w:val="28"/>
        </w:rPr>
        <w:t>业绩展示。</w:t>
      </w:r>
    </w:p>
    <w:p>
      <w:pPr>
        <w:ind w:firstLine="560" w:firstLineChars="200"/>
        <w:outlineLvl w:val="9"/>
        <w:rPr>
          <w:rFonts w:hint="default" w:ascii="仿宋" w:hAnsi="仿宋" w:eastAsia="仿宋"/>
          <w:sz w:val="28"/>
          <w:szCs w:val="28"/>
          <w:lang w:val="en-US"/>
        </w:rPr>
      </w:pPr>
      <w:r>
        <w:rPr>
          <w:rFonts w:hint="eastAsia" w:ascii="仿宋" w:hAnsi="仿宋" w:eastAsia="仿宋" w:cs="仿宋"/>
          <w:color w:val="000000"/>
          <w:sz w:val="28"/>
          <w:lang w:val="en-US" w:eastAsia="zh-CN"/>
        </w:rPr>
        <w:t>4.综合实力展示。</w:t>
      </w: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pStyle w:val="5"/>
      </w:pPr>
    </w:p>
    <w:p>
      <w:pPr>
        <w:outlineLvl w:val="0"/>
        <w:rPr>
          <w:rFonts w:hint="default" w:ascii="仿宋" w:hAnsi="仿宋" w:eastAsia="仿宋"/>
          <w:b/>
          <w:bCs/>
          <w:sz w:val="28"/>
          <w:szCs w:val="28"/>
          <w:lang w:val="en-US" w:eastAsia="zh-CN"/>
        </w:rPr>
      </w:pPr>
      <w:r>
        <w:rPr>
          <w:rFonts w:ascii="仿宋" w:hAnsi="仿宋" w:eastAsia="仿宋"/>
          <w:b/>
          <w:bCs/>
          <w:sz w:val="28"/>
          <w:szCs w:val="28"/>
        </w:rPr>
        <w:t>附件</w:t>
      </w:r>
      <w:r>
        <w:rPr>
          <w:rFonts w:hint="eastAsia" w:ascii="仿宋" w:hAnsi="仿宋" w:eastAsia="仿宋"/>
          <w:b/>
          <w:bCs/>
          <w:sz w:val="28"/>
          <w:szCs w:val="28"/>
        </w:rPr>
        <w:t>2</w:t>
      </w:r>
      <w:r>
        <w:rPr>
          <w:rFonts w:hint="eastAsia" w:ascii="仿宋" w:hAnsi="仿宋" w:eastAsia="仿宋"/>
          <w:b/>
          <w:bCs/>
          <w:sz w:val="28"/>
          <w:szCs w:val="28"/>
          <w:lang w:val="en-US" w:eastAsia="zh-CN"/>
        </w:rPr>
        <w:t>-2</w:t>
      </w:r>
    </w:p>
    <w:p>
      <w:pPr>
        <w:adjustRightInd w:val="0"/>
        <w:snapToGrid w:val="0"/>
        <w:spacing w:line="480" w:lineRule="auto"/>
        <w:ind w:firstLine="640" w:firstLineChars="0"/>
        <w:jc w:val="center"/>
        <w:outlineLvl w:val="9"/>
        <w:rPr>
          <w:rFonts w:hint="eastAsia" w:ascii="仿宋" w:hAnsi="仿宋" w:eastAsia="仿宋"/>
          <w:b/>
          <w:sz w:val="32"/>
          <w:szCs w:val="28"/>
          <w:lang w:eastAsia="zh-CN"/>
        </w:rPr>
      </w:pPr>
      <w:r>
        <w:rPr>
          <w:rFonts w:hint="eastAsia" w:ascii="仿宋" w:hAnsi="仿宋" w:eastAsia="仿宋"/>
          <w:b/>
          <w:sz w:val="32"/>
          <w:szCs w:val="28"/>
        </w:rPr>
        <w:t>合作方案基本格式</w:t>
      </w:r>
      <w:r>
        <w:rPr>
          <w:rFonts w:hint="eastAsia" w:ascii="仿宋" w:hAnsi="仿宋" w:eastAsia="仿宋"/>
          <w:b/>
          <w:sz w:val="32"/>
          <w:szCs w:val="28"/>
          <w:lang w:eastAsia="zh-CN"/>
        </w:rPr>
        <w:t>（第二包）</w:t>
      </w:r>
    </w:p>
    <w:p>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pPr>
        <w:autoSpaceDN/>
        <w:spacing w:line="240" w:lineRule="auto"/>
        <w:ind w:firstLine="560" w:firstLineChars="200"/>
        <w:jc w:val="left"/>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1.咖啡吧饮品糕点收费方案。</w:t>
      </w:r>
    </w:p>
    <w:p>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color w:val="000000"/>
          <w:sz w:val="28"/>
          <w:lang w:val="en-US" w:eastAsia="zh-CN"/>
        </w:rPr>
        <w:t>2.</w:t>
      </w:r>
      <w:r>
        <w:rPr>
          <w:rFonts w:hint="eastAsia" w:ascii="仿宋" w:hAnsi="仿宋" w:eastAsia="仿宋" w:cs="仿宋"/>
          <w:color w:val="000000"/>
          <w:sz w:val="28"/>
          <w:lang w:eastAsia="zh-CN"/>
        </w:rPr>
        <w:t>服务方案，包括管理方案，实施方案，</w:t>
      </w:r>
      <w:r>
        <w:rPr>
          <w:rFonts w:hint="eastAsia" w:ascii="仿宋" w:hAnsi="仿宋" w:eastAsia="仿宋" w:cs="仿宋"/>
          <w:bCs w:val="0"/>
          <w:color w:val="000000"/>
          <w:sz w:val="28"/>
          <w:szCs w:val="22"/>
        </w:rPr>
        <w:t>应急处置（保障）方案</w:t>
      </w:r>
      <w:r>
        <w:rPr>
          <w:rFonts w:hint="eastAsia" w:ascii="仿宋" w:hAnsi="仿宋" w:eastAsia="仿宋" w:cs="仿宋"/>
          <w:bCs w:val="0"/>
          <w:color w:val="000000"/>
          <w:sz w:val="28"/>
          <w:szCs w:val="22"/>
          <w:lang w:eastAsia="zh-CN"/>
        </w:rPr>
        <w:t>，</w:t>
      </w:r>
      <w:r>
        <w:rPr>
          <w:rFonts w:hint="eastAsia" w:ascii="仿宋" w:hAnsi="仿宋" w:eastAsia="仿宋" w:cs="仿宋"/>
          <w:bCs w:val="0"/>
          <w:color w:val="000000"/>
          <w:sz w:val="28"/>
          <w:szCs w:val="22"/>
        </w:rPr>
        <w:t>运营服务方案</w:t>
      </w:r>
      <w:r>
        <w:rPr>
          <w:rFonts w:hint="eastAsia" w:ascii="仿宋" w:hAnsi="仿宋" w:eastAsia="仿宋" w:cs="仿宋"/>
          <w:bCs w:val="0"/>
          <w:color w:val="000000"/>
          <w:sz w:val="28"/>
          <w:szCs w:val="22"/>
          <w:lang w:eastAsia="zh-CN"/>
        </w:rPr>
        <w:t>等。</w:t>
      </w:r>
    </w:p>
    <w:p>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bCs w:val="0"/>
          <w:color w:val="000000"/>
          <w:sz w:val="28"/>
          <w:szCs w:val="22"/>
          <w:lang w:val="en-US" w:eastAsia="zh-CN"/>
        </w:rPr>
        <w:t>3.</w:t>
      </w:r>
      <w:r>
        <w:rPr>
          <w:rFonts w:hint="eastAsia" w:ascii="仿宋" w:hAnsi="仿宋" w:eastAsia="仿宋" w:cs="仿宋"/>
          <w:bCs w:val="0"/>
          <w:color w:val="000000"/>
          <w:sz w:val="28"/>
          <w:szCs w:val="22"/>
        </w:rPr>
        <w:t>拟投入本项目的人员</w:t>
      </w:r>
      <w:r>
        <w:rPr>
          <w:rFonts w:hint="eastAsia" w:ascii="仿宋" w:hAnsi="仿宋" w:eastAsia="仿宋" w:cs="仿宋"/>
          <w:bCs w:val="0"/>
          <w:color w:val="000000"/>
          <w:sz w:val="28"/>
          <w:szCs w:val="22"/>
          <w:lang w:eastAsia="zh-CN"/>
        </w:rPr>
        <w:t>及相关资格认证。</w:t>
      </w:r>
    </w:p>
    <w:p>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4</w:t>
      </w:r>
      <w:r>
        <w:rPr>
          <w:rFonts w:hint="eastAsia" w:ascii="仿宋" w:hAnsi="仿宋" w:eastAsia="仿宋" w:cs="仿宋"/>
          <w:color w:val="000000"/>
          <w:sz w:val="28"/>
        </w:rPr>
        <w:t>.</w:t>
      </w:r>
      <w:r>
        <w:rPr>
          <w:rFonts w:ascii="仿宋" w:hAnsi="仿宋" w:eastAsia="仿宋" w:cs="仿宋"/>
          <w:color w:val="000000"/>
          <w:sz w:val="28"/>
        </w:rPr>
        <w:t>业绩展示。</w:t>
      </w: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附件3-1</w:t>
      </w:r>
    </w:p>
    <w:p>
      <w:pPr>
        <w:pStyle w:val="3"/>
        <w:rPr>
          <w:b/>
          <w:bCs/>
        </w:rPr>
      </w:pPr>
    </w:p>
    <w:p>
      <w:pPr>
        <w:ind w:firstLine="643" w:firstLineChars="200"/>
        <w:jc w:val="center"/>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报价表</w:t>
      </w:r>
      <w:r>
        <w:rPr>
          <w:rFonts w:hint="eastAsia" w:ascii="仿宋_GB2312" w:hAnsi="仿宋_GB2312" w:eastAsia="仿宋_GB2312" w:cs="仿宋_GB2312"/>
          <w:b/>
          <w:bCs/>
          <w:sz w:val="32"/>
          <w:szCs w:val="32"/>
          <w:lang w:eastAsia="zh-CN"/>
        </w:rPr>
        <w:t>（第一包）</w:t>
      </w:r>
    </w:p>
    <w:tbl>
      <w:tblPr>
        <w:tblStyle w:val="9"/>
        <w:tblW w:w="85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403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金额</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综合管理费用（固定）</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万元</w:t>
            </w:r>
            <w:r>
              <w:rPr>
                <w:rFonts w:hint="eastAsia" w:ascii="仿宋" w:hAnsi="仿宋" w:eastAsia="仿宋" w:cs="仿宋"/>
                <w:sz w:val="24"/>
                <w:lang w:val="en-US" w:eastAsia="zh-CN"/>
              </w:rPr>
              <w:t>/年</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报价不低于80万元/年</w:t>
            </w:r>
            <w:r>
              <w:rPr>
                <w:rFonts w:hint="eastAsia" w:ascii="仿宋" w:hAnsi="仿宋" w:eastAsia="仿宋" w:cs="仿宋"/>
                <w:b/>
                <w:bCs/>
                <w:color w:val="auto"/>
                <w:sz w:val="24"/>
                <w:highlight w:val="none"/>
                <w:lang w:val="en-US" w:eastAsia="zh-CN"/>
              </w:rPr>
              <w:t>（含税）</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此报价</w:t>
            </w:r>
            <w:r>
              <w:rPr>
                <w:rFonts w:hint="eastAsia" w:ascii="仿宋" w:hAnsi="仿宋" w:eastAsia="仿宋" w:cs="仿宋"/>
                <w:sz w:val="24"/>
                <w:highlight w:val="none"/>
              </w:rPr>
              <w:t>要求</w:t>
            </w:r>
            <w:r>
              <w:rPr>
                <w:rFonts w:hint="eastAsia" w:ascii="仿宋" w:hAnsi="仿宋" w:eastAsia="仿宋" w:cs="仿宋"/>
                <w:sz w:val="24"/>
                <w:highlight w:val="none"/>
                <w:lang w:eastAsia="zh-CN"/>
              </w:rPr>
              <w:t>属于</w:t>
            </w:r>
            <w:r>
              <w:rPr>
                <w:rFonts w:hint="eastAsia" w:ascii="仿宋" w:hAnsi="仿宋" w:eastAsia="仿宋" w:cs="仿宋"/>
                <w:sz w:val="24"/>
                <w:highlight w:val="none"/>
              </w:rPr>
              <w:t>实质性响应条款，</w:t>
            </w:r>
            <w:r>
              <w:rPr>
                <w:rFonts w:hint="eastAsia" w:ascii="仿宋" w:hAnsi="仿宋" w:eastAsia="仿宋" w:cs="仿宋"/>
                <w:sz w:val="24"/>
                <w:highlight w:val="none"/>
                <w:lang w:eastAsia="zh-CN"/>
              </w:rPr>
              <w:t>若未能满足该项要求，</w:t>
            </w:r>
            <w:r>
              <w:rPr>
                <w:rFonts w:hint="eastAsia" w:ascii="仿宋" w:hAnsi="仿宋" w:eastAsia="仿宋" w:cs="仿宋"/>
                <w:sz w:val="24"/>
                <w:highlight w:val="none"/>
              </w:rPr>
              <w:t>将被</w:t>
            </w:r>
            <w:r>
              <w:rPr>
                <w:rFonts w:hint="eastAsia" w:ascii="仿宋" w:hAnsi="仿宋" w:eastAsia="仿宋" w:cs="仿宋"/>
                <w:sz w:val="24"/>
                <w:highlight w:val="none"/>
                <w:lang w:eastAsia="zh-CN"/>
              </w:rPr>
              <w:t>判定为</w:t>
            </w:r>
            <w:r>
              <w:rPr>
                <w:rFonts w:hint="eastAsia" w:ascii="仿宋" w:hAnsi="仿宋" w:eastAsia="仿宋" w:cs="仿宋"/>
                <w:sz w:val="24"/>
                <w:highlight w:val="none"/>
              </w:rPr>
              <w:t>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综合管理费用（递增）</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递增率</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该费用以综合管理费（固定）为基础，每年以不低于一定比例递增，递增率不低于5%</w:t>
            </w:r>
            <w:r>
              <w:rPr>
                <w:rFonts w:hint="eastAsia" w:ascii="仿宋" w:hAnsi="仿宋" w:eastAsia="仿宋" w:cs="仿宋"/>
                <w:sz w:val="24"/>
                <w:szCs w:val="22"/>
                <w:highlight w:val="none"/>
                <w:lang w:val="en-US" w:eastAsia="zh-CN"/>
              </w:rPr>
              <w:t>，</w:t>
            </w:r>
            <w:r>
              <w:rPr>
                <w:rFonts w:hint="eastAsia" w:ascii="仿宋" w:hAnsi="仿宋" w:eastAsia="仿宋" w:cs="仿宋"/>
                <w:sz w:val="24"/>
                <w:szCs w:val="32"/>
                <w:highlight w:val="none"/>
                <w:lang w:eastAsia="zh-CN"/>
              </w:rPr>
              <w:t>此报价</w:t>
            </w:r>
            <w:r>
              <w:rPr>
                <w:rFonts w:hint="eastAsia" w:ascii="仿宋" w:hAnsi="仿宋" w:eastAsia="仿宋" w:cs="仿宋"/>
                <w:sz w:val="24"/>
                <w:szCs w:val="32"/>
                <w:highlight w:val="none"/>
              </w:rPr>
              <w:t>要求</w:t>
            </w:r>
            <w:r>
              <w:rPr>
                <w:rFonts w:hint="eastAsia" w:ascii="仿宋" w:hAnsi="仿宋" w:eastAsia="仿宋" w:cs="仿宋"/>
                <w:sz w:val="24"/>
                <w:szCs w:val="32"/>
                <w:highlight w:val="none"/>
                <w:lang w:eastAsia="zh-CN"/>
              </w:rPr>
              <w:t>属于</w:t>
            </w:r>
            <w:r>
              <w:rPr>
                <w:rFonts w:hint="eastAsia" w:ascii="仿宋" w:hAnsi="仿宋" w:eastAsia="仿宋" w:cs="仿宋"/>
                <w:sz w:val="24"/>
                <w:szCs w:val="32"/>
                <w:highlight w:val="none"/>
              </w:rPr>
              <w:t>实质性响应条款，</w:t>
            </w:r>
            <w:r>
              <w:rPr>
                <w:rFonts w:hint="eastAsia" w:ascii="仿宋" w:hAnsi="仿宋" w:eastAsia="仿宋" w:cs="仿宋"/>
                <w:sz w:val="24"/>
                <w:szCs w:val="32"/>
                <w:highlight w:val="none"/>
                <w:lang w:eastAsia="zh-CN"/>
              </w:rPr>
              <w:t>若未能满足该项要求，</w:t>
            </w:r>
            <w:r>
              <w:rPr>
                <w:rFonts w:hint="eastAsia" w:ascii="仿宋" w:hAnsi="仿宋" w:eastAsia="仿宋" w:cs="仿宋"/>
                <w:sz w:val="24"/>
                <w:szCs w:val="32"/>
                <w:highlight w:val="none"/>
              </w:rPr>
              <w:t>将被</w:t>
            </w:r>
            <w:r>
              <w:rPr>
                <w:rFonts w:hint="eastAsia" w:ascii="仿宋" w:hAnsi="仿宋" w:eastAsia="仿宋" w:cs="仿宋"/>
                <w:sz w:val="24"/>
                <w:szCs w:val="32"/>
                <w:highlight w:val="none"/>
                <w:lang w:eastAsia="zh-CN"/>
              </w:rPr>
              <w:t>判定为</w:t>
            </w:r>
            <w:r>
              <w:rPr>
                <w:rFonts w:hint="eastAsia" w:ascii="仿宋" w:hAnsi="仿宋" w:eastAsia="仿宋" w:cs="仿宋"/>
                <w:sz w:val="24"/>
                <w:szCs w:val="32"/>
                <w:highlight w:val="none"/>
              </w:rPr>
              <w:t>无效投标</w:t>
            </w:r>
          </w:p>
        </w:tc>
      </w:tr>
    </w:tbl>
    <w:p>
      <w:pPr>
        <w:pStyle w:val="5"/>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附件3-2</w:t>
      </w:r>
    </w:p>
    <w:p>
      <w:pPr>
        <w:outlineLvl w:val="9"/>
        <w:rPr>
          <w:rFonts w:ascii="仿宋" w:hAnsi="仿宋" w:eastAsia="仿宋"/>
          <w:sz w:val="28"/>
          <w:szCs w:val="28"/>
        </w:rPr>
      </w:pPr>
    </w:p>
    <w:p>
      <w:pPr>
        <w:ind w:firstLine="643" w:firstLineChars="20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报价表（第二包）</w:t>
      </w:r>
    </w:p>
    <w:tbl>
      <w:tblPr>
        <w:tblStyle w:val="9"/>
        <w:tblW w:w="85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403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金额</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b w:val="0"/>
                <w:bCs w:val="0"/>
                <w:sz w:val="24"/>
                <w:szCs w:val="22"/>
              </w:rPr>
              <w:t>综合管理费用</w:t>
            </w:r>
            <w:r>
              <w:rPr>
                <w:rFonts w:hint="eastAsia" w:ascii="仿宋" w:hAnsi="仿宋" w:eastAsia="仿宋" w:cs="仿宋"/>
                <w:b w:val="0"/>
                <w:bCs w:val="0"/>
                <w:sz w:val="24"/>
                <w:szCs w:val="22"/>
                <w:lang w:eastAsia="zh-CN"/>
              </w:rPr>
              <w:t>（固定）</w:t>
            </w:r>
          </w:p>
        </w:tc>
        <w:tc>
          <w:tcPr>
            <w:tcW w:w="40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万</w:t>
            </w:r>
            <w:r>
              <w:rPr>
                <w:rFonts w:hint="eastAsia" w:ascii="仿宋" w:hAnsi="仿宋" w:eastAsia="仿宋" w:cs="仿宋"/>
                <w:sz w:val="24"/>
                <w:lang w:val="en-US" w:eastAsia="zh-CN"/>
              </w:rPr>
              <w:t>元/年</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szCs w:val="32"/>
                <w:highlight w:val="none"/>
              </w:rPr>
              <w:t>参选机构报价不得低于</w:t>
            </w:r>
            <w:r>
              <w:rPr>
                <w:rFonts w:hint="eastAsia" w:ascii="仿宋" w:hAnsi="仿宋" w:eastAsia="仿宋" w:cs="仿宋"/>
                <w:sz w:val="24"/>
                <w:szCs w:val="32"/>
                <w:highlight w:val="none"/>
                <w:lang w:eastAsia="zh-CN"/>
              </w:rPr>
              <w:t>8</w:t>
            </w:r>
            <w:r>
              <w:rPr>
                <w:rFonts w:hint="eastAsia" w:ascii="仿宋" w:hAnsi="仿宋" w:eastAsia="仿宋" w:cs="仿宋"/>
                <w:sz w:val="24"/>
                <w:szCs w:val="32"/>
                <w:highlight w:val="none"/>
              </w:rPr>
              <w:t>万元</w:t>
            </w:r>
            <w:r>
              <w:rPr>
                <w:rFonts w:hint="eastAsia" w:ascii="仿宋" w:hAnsi="仿宋" w:eastAsia="仿宋" w:cs="仿宋"/>
                <w:sz w:val="24"/>
                <w:szCs w:val="32"/>
                <w:highlight w:val="none"/>
                <w:lang w:val="en-US" w:eastAsia="zh-CN"/>
              </w:rPr>
              <w:t>/年（含税）</w:t>
            </w:r>
            <w:r>
              <w:rPr>
                <w:rFonts w:hint="eastAsia" w:ascii="仿宋" w:hAnsi="仿宋" w:eastAsia="仿宋" w:cs="仿宋"/>
                <w:sz w:val="24"/>
                <w:szCs w:val="32"/>
                <w:highlight w:val="none"/>
              </w:rPr>
              <w:t>，</w:t>
            </w:r>
            <w:r>
              <w:rPr>
                <w:rFonts w:hint="eastAsia" w:ascii="仿宋" w:hAnsi="仿宋" w:eastAsia="仿宋" w:cs="仿宋"/>
                <w:sz w:val="24"/>
                <w:szCs w:val="32"/>
                <w:highlight w:val="none"/>
                <w:lang w:eastAsia="zh-CN"/>
              </w:rPr>
              <w:t>此报价</w:t>
            </w:r>
            <w:r>
              <w:rPr>
                <w:rFonts w:hint="eastAsia" w:ascii="仿宋" w:hAnsi="仿宋" w:eastAsia="仿宋" w:cs="仿宋"/>
                <w:sz w:val="24"/>
                <w:szCs w:val="32"/>
                <w:highlight w:val="none"/>
              </w:rPr>
              <w:t>要求</w:t>
            </w:r>
            <w:r>
              <w:rPr>
                <w:rFonts w:hint="eastAsia" w:ascii="仿宋" w:hAnsi="仿宋" w:eastAsia="仿宋" w:cs="仿宋"/>
                <w:sz w:val="24"/>
                <w:szCs w:val="32"/>
                <w:highlight w:val="none"/>
                <w:lang w:eastAsia="zh-CN"/>
              </w:rPr>
              <w:t>属于</w:t>
            </w:r>
            <w:r>
              <w:rPr>
                <w:rFonts w:hint="eastAsia" w:ascii="仿宋" w:hAnsi="仿宋" w:eastAsia="仿宋" w:cs="仿宋"/>
                <w:sz w:val="24"/>
                <w:szCs w:val="32"/>
                <w:highlight w:val="none"/>
              </w:rPr>
              <w:t>实质性响应条款，</w:t>
            </w:r>
            <w:r>
              <w:rPr>
                <w:rFonts w:hint="eastAsia" w:ascii="仿宋" w:hAnsi="仿宋" w:eastAsia="仿宋" w:cs="仿宋"/>
                <w:sz w:val="24"/>
                <w:szCs w:val="32"/>
                <w:highlight w:val="none"/>
                <w:lang w:eastAsia="zh-CN"/>
              </w:rPr>
              <w:t>若未能满足该项要求，</w:t>
            </w:r>
            <w:r>
              <w:rPr>
                <w:rFonts w:hint="eastAsia" w:ascii="仿宋" w:hAnsi="仿宋" w:eastAsia="仿宋" w:cs="仿宋"/>
                <w:sz w:val="24"/>
                <w:szCs w:val="32"/>
                <w:highlight w:val="none"/>
              </w:rPr>
              <w:t>将被</w:t>
            </w:r>
            <w:r>
              <w:rPr>
                <w:rFonts w:hint="eastAsia" w:ascii="仿宋" w:hAnsi="仿宋" w:eastAsia="仿宋" w:cs="仿宋"/>
                <w:sz w:val="24"/>
                <w:szCs w:val="32"/>
                <w:highlight w:val="none"/>
                <w:lang w:eastAsia="zh-CN"/>
              </w:rPr>
              <w:t>判定为</w:t>
            </w:r>
            <w:r>
              <w:rPr>
                <w:rFonts w:hint="eastAsia" w:ascii="仿宋" w:hAnsi="仿宋" w:eastAsia="仿宋" w:cs="仿宋"/>
                <w:sz w:val="24"/>
                <w:szCs w:val="32"/>
                <w:highlight w:val="none"/>
              </w:rPr>
              <w:t>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综合管理费用（递增）</w:t>
            </w:r>
          </w:p>
        </w:tc>
        <w:tc>
          <w:tcPr>
            <w:tcW w:w="40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递增率</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rPr>
              <w:t>该费用以综合管理费（固定）为基础，每年以不低于一定比例递增，递增率不低于5%</w:t>
            </w:r>
            <w:r>
              <w:rPr>
                <w:rFonts w:hint="eastAsia" w:ascii="仿宋" w:hAnsi="仿宋" w:eastAsia="仿宋" w:cs="仿宋"/>
                <w:sz w:val="24"/>
                <w:szCs w:val="22"/>
                <w:highlight w:val="none"/>
                <w:lang w:val="en-US" w:eastAsia="zh-CN"/>
              </w:rPr>
              <w:t>，</w:t>
            </w:r>
            <w:r>
              <w:rPr>
                <w:rFonts w:hint="eastAsia" w:ascii="仿宋" w:hAnsi="仿宋" w:eastAsia="仿宋" w:cs="仿宋"/>
                <w:sz w:val="24"/>
                <w:szCs w:val="32"/>
                <w:highlight w:val="none"/>
                <w:lang w:eastAsia="zh-CN"/>
              </w:rPr>
              <w:t>此报价</w:t>
            </w:r>
            <w:r>
              <w:rPr>
                <w:rFonts w:hint="eastAsia" w:ascii="仿宋" w:hAnsi="仿宋" w:eastAsia="仿宋" w:cs="仿宋"/>
                <w:sz w:val="24"/>
                <w:szCs w:val="32"/>
                <w:highlight w:val="none"/>
              </w:rPr>
              <w:t>要求</w:t>
            </w:r>
            <w:r>
              <w:rPr>
                <w:rFonts w:hint="eastAsia" w:ascii="仿宋" w:hAnsi="仿宋" w:eastAsia="仿宋" w:cs="仿宋"/>
                <w:sz w:val="24"/>
                <w:szCs w:val="32"/>
                <w:highlight w:val="none"/>
                <w:lang w:eastAsia="zh-CN"/>
              </w:rPr>
              <w:t>属于</w:t>
            </w:r>
            <w:r>
              <w:rPr>
                <w:rFonts w:hint="eastAsia" w:ascii="仿宋" w:hAnsi="仿宋" w:eastAsia="仿宋" w:cs="仿宋"/>
                <w:sz w:val="24"/>
                <w:szCs w:val="32"/>
                <w:highlight w:val="none"/>
              </w:rPr>
              <w:t>实质性响应条款，</w:t>
            </w:r>
            <w:r>
              <w:rPr>
                <w:rFonts w:hint="eastAsia" w:ascii="仿宋" w:hAnsi="仿宋" w:eastAsia="仿宋" w:cs="仿宋"/>
                <w:sz w:val="24"/>
                <w:szCs w:val="32"/>
                <w:highlight w:val="none"/>
                <w:lang w:eastAsia="zh-CN"/>
              </w:rPr>
              <w:t>若未能满足该项要求，</w:t>
            </w:r>
            <w:r>
              <w:rPr>
                <w:rFonts w:hint="eastAsia" w:ascii="仿宋" w:hAnsi="仿宋" w:eastAsia="仿宋" w:cs="仿宋"/>
                <w:sz w:val="24"/>
                <w:szCs w:val="32"/>
                <w:highlight w:val="none"/>
              </w:rPr>
              <w:t>将被</w:t>
            </w:r>
            <w:r>
              <w:rPr>
                <w:rFonts w:hint="eastAsia" w:ascii="仿宋" w:hAnsi="仿宋" w:eastAsia="仿宋" w:cs="仿宋"/>
                <w:sz w:val="24"/>
                <w:szCs w:val="32"/>
                <w:highlight w:val="none"/>
                <w:lang w:eastAsia="zh-CN"/>
              </w:rPr>
              <w:t>判定为</w:t>
            </w:r>
            <w:r>
              <w:rPr>
                <w:rFonts w:hint="eastAsia" w:ascii="仿宋" w:hAnsi="仿宋" w:eastAsia="仿宋" w:cs="仿宋"/>
                <w:sz w:val="24"/>
                <w:szCs w:val="32"/>
                <w:highlight w:val="none"/>
              </w:rPr>
              <w:t>无效投标</w:t>
            </w:r>
          </w:p>
        </w:tc>
      </w:tr>
    </w:tbl>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附件4</w:t>
      </w:r>
    </w:p>
    <w:p>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outlineLvl w:val="9"/>
        <w:rPr>
          <w:rFonts w:ascii="仿宋" w:hAnsi="仿宋" w:eastAsia="仿宋"/>
          <w:sz w:val="28"/>
          <w:szCs w:val="28"/>
        </w:rPr>
      </w:pPr>
    </w:p>
    <w:p>
      <w:pPr>
        <w:pStyle w:val="5"/>
      </w:pPr>
    </w:p>
    <w:p>
      <w:pPr>
        <w:outlineLvl w:val="1"/>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附件5</w:t>
      </w:r>
    </w:p>
    <w:p>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偏离表</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附承诺函原件并加盖公章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9"/>
        <w:rPr>
          <w:rFonts w:hint="eastAsia" w:ascii="仿宋" w:hAnsi="仿宋" w:eastAsia="仿宋"/>
          <w:sz w:val="28"/>
          <w:szCs w:val="28"/>
        </w:rPr>
      </w:pPr>
    </w:p>
    <w:p>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附件6</w:t>
      </w:r>
    </w:p>
    <w:p>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9"/>
        <w:rPr>
          <w:rFonts w:hint="eastAsia" w:ascii="仿宋" w:hAnsi="仿宋" w:eastAsia="仿宋"/>
          <w:sz w:val="28"/>
          <w:szCs w:val="28"/>
        </w:rPr>
      </w:pPr>
    </w:p>
    <w:p>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附件7</w:t>
      </w:r>
    </w:p>
    <w:p>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附件8</w:t>
      </w:r>
    </w:p>
    <w:p>
      <w:pPr>
        <w:adjustRightInd w:val="0"/>
        <w:snapToGrid w:val="0"/>
        <w:spacing w:line="480" w:lineRule="auto"/>
        <w:ind w:firstLine="640" w:firstLineChars="0"/>
        <w:jc w:val="center"/>
        <w:outlineLvl w:val="1"/>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（签字或加盖个人名章）：</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附件9-1</w:t>
      </w:r>
    </w:p>
    <w:p>
      <w:pPr>
        <w:adjustRightInd w:val="0"/>
        <w:snapToGrid w:val="0"/>
        <w:spacing w:line="480" w:lineRule="auto"/>
        <w:jc w:val="center"/>
        <w:outlineLvl w:val="1"/>
        <w:rPr>
          <w:rFonts w:hint="eastAsia" w:eastAsia="仿宋"/>
          <w:lang w:val="en-US" w:eastAsia="zh-CN"/>
        </w:rPr>
      </w:pPr>
      <w:r>
        <w:rPr>
          <w:rFonts w:hint="eastAsia" w:ascii="仿宋" w:hAnsi="仿宋" w:eastAsia="仿宋"/>
          <w:b/>
          <w:sz w:val="32"/>
          <w:szCs w:val="28"/>
        </w:rPr>
        <w:t>评审办法（综合评分明细表）</w:t>
      </w:r>
      <w:r>
        <w:rPr>
          <w:rFonts w:hint="eastAsia" w:ascii="仿宋" w:hAnsi="仿宋" w:eastAsia="仿宋"/>
          <w:b/>
          <w:sz w:val="32"/>
          <w:szCs w:val="28"/>
          <w:lang w:eastAsia="zh-CN"/>
        </w:rPr>
        <w:t>（第一包）</w:t>
      </w:r>
    </w:p>
    <w:tbl>
      <w:tblPr>
        <w:tblStyle w:val="9"/>
        <w:tblW w:w="9920"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67"/>
        <w:gridCol w:w="733"/>
        <w:gridCol w:w="1234"/>
        <w:gridCol w:w="5"/>
        <w:gridCol w:w="3174"/>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序号</w:t>
            </w:r>
          </w:p>
        </w:tc>
        <w:tc>
          <w:tcPr>
            <w:tcW w:w="638" w:type="pct"/>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评分因素及权重</w:t>
            </w:r>
          </w:p>
        </w:tc>
        <w:tc>
          <w:tcPr>
            <w:tcW w:w="369" w:type="pct"/>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分值</w:t>
            </w:r>
          </w:p>
        </w:tc>
        <w:tc>
          <w:tcPr>
            <w:tcW w:w="2224" w:type="pct"/>
            <w:gridSpan w:val="3"/>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评分标准</w:t>
            </w:r>
          </w:p>
        </w:tc>
        <w:tc>
          <w:tcPr>
            <w:tcW w:w="1370" w:type="pct"/>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pPr>
              <w:autoSpaceDN w:val="0"/>
              <w:spacing w:line="360" w:lineRule="auto"/>
              <w:jc w:val="center"/>
              <w:rPr>
                <w:rFonts w:ascii="仿宋" w:hAnsi="仿宋" w:eastAsia="仿宋" w:cs="仿宋_GB2312"/>
                <w:bCs/>
                <w:szCs w:val="21"/>
                <w:highlight w:val="none"/>
              </w:rPr>
            </w:pPr>
            <w:r>
              <w:rPr>
                <w:rFonts w:hint="eastAsia" w:ascii="仿宋" w:hAnsi="仿宋" w:eastAsia="仿宋" w:cs="仿宋_GB2312"/>
                <w:bCs/>
                <w:szCs w:val="21"/>
                <w:highlight w:val="none"/>
              </w:rPr>
              <w:t>1</w:t>
            </w:r>
          </w:p>
        </w:tc>
        <w:tc>
          <w:tcPr>
            <w:tcW w:w="638" w:type="pct"/>
            <w:noWrap w:val="0"/>
            <w:vAlign w:val="center"/>
          </w:tcPr>
          <w:p>
            <w:pPr>
              <w:autoSpaceDN w:val="0"/>
              <w:spacing w:line="360" w:lineRule="auto"/>
              <w:jc w:val="center"/>
              <w:rPr>
                <w:rFonts w:ascii="仿宋" w:hAnsi="仿宋" w:eastAsia="仿宋" w:cs="仿宋_GB2312"/>
                <w:bCs/>
                <w:szCs w:val="21"/>
                <w:highlight w:val="none"/>
              </w:rPr>
            </w:pPr>
            <w:r>
              <w:rPr>
                <w:rFonts w:hint="eastAsia" w:ascii="仿宋" w:hAnsi="仿宋" w:eastAsia="仿宋" w:cs="仿宋_GB2312"/>
                <w:bCs/>
                <w:szCs w:val="21"/>
                <w:highlight w:val="none"/>
              </w:rPr>
              <w:t>报价</w:t>
            </w:r>
          </w:p>
          <w:p>
            <w:pPr>
              <w:autoSpaceDN w:val="0"/>
              <w:spacing w:line="360" w:lineRule="auto"/>
              <w:jc w:val="center"/>
              <w:rPr>
                <w:rFonts w:ascii="仿宋" w:hAnsi="仿宋" w:eastAsia="仿宋" w:cs="仿宋_GB2312"/>
                <w:bCs/>
                <w:szCs w:val="21"/>
                <w:highlight w:val="none"/>
              </w:rPr>
            </w:pPr>
            <w:r>
              <w:rPr>
                <w:rFonts w:hint="eastAsia" w:ascii="仿宋" w:hAnsi="仿宋" w:eastAsia="仿宋" w:cs="仿宋_GB2312"/>
                <w:bCs/>
                <w:szCs w:val="21"/>
                <w:highlight w:val="none"/>
                <w:lang w:val="en-US" w:eastAsia="zh-CN"/>
              </w:rPr>
              <w:t>20</w:t>
            </w:r>
            <w:r>
              <w:rPr>
                <w:rFonts w:hint="eastAsia" w:ascii="仿宋" w:hAnsi="仿宋" w:eastAsia="仿宋" w:cs="仿宋_GB2312"/>
                <w:bCs/>
                <w:szCs w:val="21"/>
                <w:highlight w:val="none"/>
              </w:rPr>
              <w:t>%</w:t>
            </w:r>
          </w:p>
        </w:tc>
        <w:tc>
          <w:tcPr>
            <w:tcW w:w="369" w:type="pct"/>
            <w:noWrap w:val="0"/>
            <w:vAlign w:val="center"/>
          </w:tcPr>
          <w:p>
            <w:pPr>
              <w:autoSpaceDN w:val="0"/>
              <w:spacing w:line="360" w:lineRule="auto"/>
              <w:jc w:val="left"/>
              <w:rPr>
                <w:rFonts w:ascii="仿宋" w:hAnsi="仿宋" w:eastAsia="仿宋" w:cs="仿宋_GB2312"/>
                <w:bCs/>
                <w:szCs w:val="21"/>
                <w:highlight w:val="none"/>
              </w:rPr>
            </w:pPr>
            <w:r>
              <w:rPr>
                <w:rFonts w:hint="eastAsia" w:ascii="仿宋" w:hAnsi="仿宋" w:eastAsia="仿宋" w:cs="仿宋_GB2312"/>
                <w:bCs/>
                <w:szCs w:val="21"/>
                <w:highlight w:val="none"/>
                <w:lang w:val="en-US" w:eastAsia="zh-CN"/>
              </w:rPr>
              <w:t>20</w:t>
            </w:r>
            <w:r>
              <w:rPr>
                <w:rFonts w:hint="eastAsia" w:ascii="仿宋" w:hAnsi="仿宋" w:eastAsia="仿宋" w:cs="仿宋_GB2312"/>
                <w:bCs/>
                <w:szCs w:val="21"/>
                <w:highlight w:val="none"/>
              </w:rPr>
              <w:t>分</w:t>
            </w:r>
          </w:p>
        </w:tc>
        <w:tc>
          <w:tcPr>
            <w:tcW w:w="2224" w:type="pct"/>
            <w:gridSpan w:val="3"/>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综合管理</w:t>
            </w:r>
            <w:r>
              <w:rPr>
                <w:rFonts w:hint="eastAsia" w:ascii="仿宋" w:hAnsi="仿宋" w:eastAsia="仿宋" w:cs="仿宋_GB2312"/>
                <w:bCs/>
                <w:szCs w:val="21"/>
              </w:rPr>
              <w:t>费用</w:t>
            </w:r>
            <w:r>
              <w:rPr>
                <w:rFonts w:hint="eastAsia" w:ascii="仿宋" w:hAnsi="仿宋" w:eastAsia="仿宋" w:cs="仿宋_GB2312"/>
                <w:bCs/>
                <w:szCs w:val="21"/>
                <w:lang w:eastAsia="zh-CN"/>
              </w:rPr>
              <w:t>（</w:t>
            </w:r>
            <w:r>
              <w:rPr>
                <w:rFonts w:hint="eastAsia" w:ascii="仿宋" w:hAnsi="仿宋" w:eastAsia="仿宋" w:cs="仿宋_GB2312"/>
                <w:bCs/>
                <w:szCs w:val="21"/>
                <w:lang w:val="en-US" w:eastAsia="zh-CN"/>
              </w:rPr>
              <w:t>固定</w:t>
            </w:r>
            <w:r>
              <w:rPr>
                <w:rFonts w:hint="eastAsia" w:ascii="仿宋" w:hAnsi="仿宋" w:eastAsia="仿宋" w:cs="仿宋_GB2312"/>
                <w:bCs/>
                <w:szCs w:val="21"/>
                <w:lang w:eastAsia="zh-CN"/>
              </w:rPr>
              <w:t>）</w:t>
            </w:r>
            <w:r>
              <w:rPr>
                <w:rFonts w:hint="eastAsia" w:ascii="仿宋" w:hAnsi="仿宋" w:eastAsia="仿宋" w:cs="仿宋_GB2312"/>
                <w:bCs/>
                <w:szCs w:val="21"/>
              </w:rPr>
              <w:t>：有效参选机构的平均报价为评标基准价，高于或等于评标基准价，其价格分为满分。其他投标人（报价低于评标基准价）的价格分统一按照下列公式计算：投标报价得分=（投标报价/评标基准价）×</w:t>
            </w:r>
            <w:r>
              <w:rPr>
                <w:rFonts w:hint="eastAsia" w:ascii="仿宋" w:hAnsi="仿宋" w:eastAsia="仿宋" w:cs="仿宋_GB2312"/>
                <w:bCs/>
                <w:szCs w:val="21"/>
                <w:lang w:val="en-US" w:eastAsia="zh-CN"/>
              </w:rPr>
              <w:t>20</w:t>
            </w:r>
            <w:r>
              <w:rPr>
                <w:rFonts w:hint="eastAsia" w:ascii="仿宋" w:hAnsi="仿宋" w:eastAsia="仿宋" w:cs="仿宋_GB2312"/>
                <w:bCs/>
                <w:szCs w:val="21"/>
              </w:rPr>
              <w:t>。</w:t>
            </w:r>
          </w:p>
        </w:tc>
        <w:tc>
          <w:tcPr>
            <w:tcW w:w="1370" w:type="pct"/>
            <w:noWrap w:val="0"/>
            <w:vAlign w:val="center"/>
          </w:tcPr>
          <w:p>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1.</w:t>
            </w:r>
            <w:r>
              <w:rPr>
                <w:rFonts w:hint="eastAsia" w:ascii="仿宋" w:hAnsi="仿宋" w:eastAsia="仿宋" w:cs="仿宋_GB2312"/>
                <w:bCs/>
                <w:szCs w:val="21"/>
              </w:rPr>
              <w:t>评分的取值按四舍五入法，保留小数点后两位。</w:t>
            </w:r>
          </w:p>
          <w:p>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2.报价不低于80万元/年，低于</w:t>
            </w:r>
            <w:r>
              <w:rPr>
                <w:rFonts w:hint="eastAsia" w:ascii="仿宋" w:hAnsi="仿宋" w:eastAsia="仿宋" w:cs="仿宋_GB2312"/>
                <w:bCs/>
                <w:sz w:val="21"/>
                <w:szCs w:val="21"/>
                <w:lang w:eastAsia="zh-CN"/>
              </w:rPr>
              <w:t>为</w:t>
            </w:r>
            <w:r>
              <w:rPr>
                <w:rFonts w:hint="eastAsia" w:ascii="仿宋" w:hAnsi="仿宋" w:eastAsia="仿宋" w:cs="仿宋_GB2312"/>
                <w:bCs/>
                <w:sz w:val="21"/>
                <w:szCs w:val="21"/>
              </w:rPr>
              <w:t>无效投标</w:t>
            </w:r>
            <w:r>
              <w:rPr>
                <w:rFonts w:hint="eastAsia" w:ascii="仿宋" w:hAnsi="仿宋" w:eastAsia="仿宋" w:cs="仿宋_GB2312"/>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restart"/>
            <w:noWrap w:val="0"/>
            <w:vAlign w:val="center"/>
          </w:tcPr>
          <w:p>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2</w:t>
            </w:r>
          </w:p>
        </w:tc>
        <w:tc>
          <w:tcPr>
            <w:tcW w:w="638" w:type="pct"/>
            <w:vMerge w:val="restart"/>
            <w:noWrap w:val="0"/>
            <w:vAlign w:val="center"/>
          </w:tcPr>
          <w:p>
            <w:pPr>
              <w:autoSpaceDN w:val="0"/>
              <w:spacing w:line="360" w:lineRule="auto"/>
              <w:jc w:val="center"/>
              <w:rPr>
                <w:rFonts w:hint="eastAsia" w:ascii="仿宋" w:hAnsi="仿宋" w:eastAsia="仿宋" w:cs="仿宋_GB2312"/>
                <w:bCs/>
                <w:szCs w:val="21"/>
                <w:lang w:val="en-US" w:eastAsia="zh-CN"/>
              </w:rPr>
            </w:pPr>
          </w:p>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服务方案</w:t>
            </w:r>
          </w:p>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51</w:t>
            </w:r>
            <w:r>
              <w:rPr>
                <w:rFonts w:hint="eastAsia" w:ascii="仿宋" w:hAnsi="仿宋" w:eastAsia="仿宋" w:cs="仿宋_GB2312"/>
                <w:bCs/>
                <w:szCs w:val="21"/>
              </w:rPr>
              <w:t>%</w:t>
            </w:r>
          </w:p>
        </w:tc>
        <w:tc>
          <w:tcPr>
            <w:tcW w:w="369" w:type="pct"/>
            <w:vMerge w:val="restar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51</w:t>
            </w:r>
            <w:r>
              <w:rPr>
                <w:rFonts w:hint="eastAsia" w:ascii="仿宋" w:hAnsi="仿宋" w:eastAsia="仿宋" w:cs="仿宋_GB2312"/>
                <w:bCs/>
                <w:szCs w:val="21"/>
              </w:rPr>
              <w:t>分</w:t>
            </w:r>
          </w:p>
        </w:tc>
        <w:tc>
          <w:tcPr>
            <w:tcW w:w="624" w:type="pct"/>
            <w:gridSpan w:val="2"/>
            <w:noWrap w:val="0"/>
            <w:vAlign w:val="center"/>
          </w:tcPr>
          <w:p>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综合管理能力评价方案20</w:t>
            </w:r>
            <w:r>
              <w:rPr>
                <w:rFonts w:hint="eastAsia" w:ascii="仿宋" w:hAnsi="仿宋" w:eastAsia="仿宋" w:cs="仿宋_GB2312"/>
                <w:bCs/>
                <w:szCs w:val="21"/>
              </w:rPr>
              <w:t>分</w:t>
            </w:r>
          </w:p>
        </w:tc>
        <w:tc>
          <w:tcPr>
            <w:tcW w:w="1599" w:type="pct"/>
            <w:noWrap w:val="0"/>
            <w:vAlign w:val="center"/>
          </w:tcPr>
          <w:p>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综合管理能力评价以综合管理费用（递增）为评审依据，要求递增率不低于5%，在5%基础上每增加1%，增加2分，最高不超过20分</w:t>
            </w:r>
            <w:r>
              <w:rPr>
                <w:rFonts w:hint="eastAsia" w:ascii="仿宋" w:hAnsi="仿宋" w:eastAsia="仿宋" w:cs="仿宋_GB2312"/>
                <w:bCs/>
                <w:szCs w:val="21"/>
              </w:rPr>
              <w:t>。</w:t>
            </w:r>
          </w:p>
        </w:tc>
        <w:tc>
          <w:tcPr>
            <w:tcW w:w="1370" w:type="pct"/>
            <w:noWrap w:val="0"/>
            <w:vAlign w:val="center"/>
          </w:tcPr>
          <w:p>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1.</w:t>
            </w:r>
            <w:r>
              <w:rPr>
                <w:rFonts w:hint="eastAsia" w:ascii="仿宋" w:hAnsi="仿宋" w:eastAsia="仿宋" w:cs="仿宋_GB2312"/>
                <w:bCs/>
                <w:szCs w:val="21"/>
              </w:rPr>
              <w:t>评分的取值按四舍五入法，保留小数点后两位。</w:t>
            </w:r>
          </w:p>
          <w:p>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2.</w:t>
            </w:r>
            <w:r>
              <w:rPr>
                <w:rFonts w:hint="eastAsia" w:ascii="仿宋" w:hAnsi="仿宋" w:eastAsia="仿宋" w:cs="仿宋_GB2312"/>
                <w:bCs/>
                <w:szCs w:val="21"/>
                <w:lang w:eastAsia="zh-CN"/>
              </w:rPr>
              <w:t>报价</w:t>
            </w:r>
            <w:r>
              <w:rPr>
                <w:rFonts w:hint="eastAsia" w:ascii="仿宋" w:hAnsi="仿宋" w:eastAsia="仿宋" w:cs="仿宋_GB2312"/>
                <w:bCs/>
                <w:szCs w:val="21"/>
              </w:rPr>
              <w:t>不低于5%</w:t>
            </w:r>
            <w:r>
              <w:rPr>
                <w:rFonts w:hint="eastAsia" w:ascii="仿宋" w:hAnsi="仿宋" w:eastAsia="仿宋" w:cs="仿宋_GB2312"/>
                <w:bCs/>
                <w:szCs w:val="21"/>
                <w:lang w:eastAsia="zh-CN"/>
              </w:rPr>
              <w:t>，</w:t>
            </w:r>
            <w:r>
              <w:rPr>
                <w:rFonts w:hint="eastAsia" w:ascii="仿宋" w:hAnsi="仿宋" w:eastAsia="仿宋" w:cs="仿宋_GB2312"/>
                <w:bCs/>
                <w:szCs w:val="21"/>
                <w:lang w:val="en-US" w:eastAsia="zh-CN"/>
              </w:rPr>
              <w:t>低于为无效</w:t>
            </w:r>
            <w:r>
              <w:rPr>
                <w:rFonts w:hint="eastAsia" w:ascii="仿宋" w:hAnsi="仿宋" w:eastAsia="仿宋" w:cs="仿宋_GB2312"/>
                <w:bCs/>
                <w:sz w:val="21"/>
                <w:szCs w:val="21"/>
                <w:lang w:val="en-US" w:eastAsia="zh-CN"/>
              </w:rPr>
              <w:t>投标</w:t>
            </w:r>
            <w:r>
              <w:rPr>
                <w:rFonts w:hint="eastAsia" w:ascii="仿宋" w:hAnsi="仿宋" w:eastAsia="仿宋" w:cs="仿宋_GB2312"/>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pPr>
              <w:autoSpaceDN w:val="0"/>
              <w:spacing w:line="360" w:lineRule="auto"/>
              <w:jc w:val="center"/>
              <w:rPr>
                <w:rFonts w:hint="eastAsia" w:ascii="仿宋" w:hAnsi="仿宋" w:eastAsia="仿宋" w:cs="仿宋_GB2312"/>
                <w:bCs/>
                <w:szCs w:val="21"/>
                <w:lang w:eastAsia="zh-CN"/>
              </w:rPr>
            </w:pPr>
          </w:p>
        </w:tc>
        <w:tc>
          <w:tcPr>
            <w:tcW w:w="638" w:type="pct"/>
            <w:vMerge w:val="continue"/>
            <w:noWrap w:val="0"/>
            <w:vAlign w:val="center"/>
          </w:tcPr>
          <w:p>
            <w:pPr>
              <w:autoSpaceDN w:val="0"/>
              <w:spacing w:line="360" w:lineRule="auto"/>
              <w:jc w:val="center"/>
              <w:rPr>
                <w:rFonts w:ascii="仿宋" w:hAnsi="仿宋" w:eastAsia="仿宋" w:cs="仿宋_GB2312"/>
                <w:bCs/>
                <w:szCs w:val="21"/>
              </w:rPr>
            </w:pPr>
          </w:p>
        </w:tc>
        <w:tc>
          <w:tcPr>
            <w:tcW w:w="369" w:type="pct"/>
            <w:vMerge w:val="continue"/>
            <w:noWrap w:val="0"/>
            <w:vAlign w:val="center"/>
          </w:tcPr>
          <w:p>
            <w:pPr>
              <w:autoSpaceDN w:val="0"/>
              <w:spacing w:line="360" w:lineRule="auto"/>
              <w:jc w:val="left"/>
              <w:rPr>
                <w:rFonts w:ascii="仿宋" w:hAnsi="仿宋" w:eastAsia="仿宋" w:cs="仿宋_GB2312"/>
                <w:bCs/>
                <w:szCs w:val="21"/>
              </w:rPr>
            </w:pPr>
          </w:p>
        </w:tc>
        <w:tc>
          <w:tcPr>
            <w:tcW w:w="621"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管理方案</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1602" w:type="pct"/>
            <w:gridSpan w:val="2"/>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管理方案，①人员管理方案（包含：工作人员管理制度、人员岗位设置及职责划分方案）；②食堂内部管理制度（包含：食品质量自检制度、安全操作规程控制管理措施等）；③卫生管理制度（包含：日常环境卫生，垃圾处理措施等）进行评审，完全满足项目实际情况的，得</w:t>
            </w:r>
            <w:r>
              <w:rPr>
                <w:rFonts w:hint="eastAsia" w:ascii="仿宋" w:hAnsi="仿宋" w:eastAsia="仿宋" w:cs="仿宋_GB2312"/>
                <w:bCs/>
                <w:szCs w:val="21"/>
                <w:lang w:val="en-US" w:eastAsia="zh-CN"/>
              </w:rPr>
              <w:t>6</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2</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1</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2</w:t>
            </w:r>
            <w:r>
              <w:rPr>
                <w:rFonts w:hint="eastAsia" w:ascii="仿宋" w:hAnsi="仿宋" w:eastAsia="仿宋" w:cs="仿宋_GB2312"/>
                <w:bCs/>
                <w:szCs w:val="21"/>
              </w:rPr>
              <w:t>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restart"/>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pPr>
              <w:autoSpaceDN w:val="0"/>
              <w:spacing w:line="360" w:lineRule="auto"/>
              <w:jc w:val="center"/>
              <w:rPr>
                <w:rFonts w:ascii="仿宋" w:hAnsi="仿宋" w:eastAsia="仿宋" w:cs="仿宋_GB2312"/>
                <w:bCs/>
                <w:szCs w:val="21"/>
              </w:rPr>
            </w:pPr>
          </w:p>
        </w:tc>
        <w:tc>
          <w:tcPr>
            <w:tcW w:w="638" w:type="pct"/>
            <w:vMerge w:val="continue"/>
            <w:noWrap w:val="0"/>
            <w:vAlign w:val="center"/>
          </w:tcPr>
          <w:p>
            <w:pPr>
              <w:autoSpaceDN w:val="0"/>
              <w:spacing w:line="360" w:lineRule="auto"/>
              <w:jc w:val="center"/>
              <w:rPr>
                <w:rFonts w:ascii="仿宋" w:hAnsi="仿宋" w:eastAsia="仿宋" w:cs="仿宋_GB2312"/>
                <w:bCs/>
                <w:szCs w:val="21"/>
              </w:rPr>
            </w:pPr>
          </w:p>
        </w:tc>
        <w:tc>
          <w:tcPr>
            <w:tcW w:w="369" w:type="pct"/>
            <w:vMerge w:val="continue"/>
            <w:noWrap w:val="0"/>
            <w:vAlign w:val="center"/>
          </w:tcPr>
          <w:p>
            <w:pPr>
              <w:autoSpaceDN w:val="0"/>
              <w:spacing w:line="360" w:lineRule="auto"/>
              <w:jc w:val="left"/>
              <w:rPr>
                <w:rFonts w:ascii="仿宋" w:hAnsi="仿宋" w:eastAsia="仿宋" w:cs="仿宋_GB2312"/>
                <w:bCs/>
                <w:szCs w:val="21"/>
              </w:rPr>
            </w:pPr>
          </w:p>
        </w:tc>
        <w:tc>
          <w:tcPr>
            <w:tcW w:w="621"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实施方案1</w:t>
            </w:r>
            <w:r>
              <w:rPr>
                <w:rFonts w:hint="eastAsia" w:ascii="仿宋" w:hAnsi="仿宋" w:eastAsia="仿宋" w:cs="仿宋_GB2312"/>
                <w:bCs/>
                <w:szCs w:val="21"/>
                <w:lang w:val="en-US" w:eastAsia="zh-CN"/>
              </w:rPr>
              <w:t>5</w:t>
            </w:r>
            <w:r>
              <w:rPr>
                <w:rFonts w:hint="eastAsia" w:ascii="仿宋" w:hAnsi="仿宋" w:eastAsia="仿宋" w:cs="仿宋_GB2312"/>
                <w:bCs/>
                <w:szCs w:val="21"/>
              </w:rPr>
              <w:t>分</w:t>
            </w:r>
          </w:p>
        </w:tc>
        <w:tc>
          <w:tcPr>
            <w:tcW w:w="1602" w:type="pct"/>
            <w:gridSpan w:val="2"/>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实施方案，①菜品营养搭配方案（包含：日常餐及接待餐供餐方案、孕产妇及妊高妊糖妇女餐饮方案；儿童餐饮搭配方案）；②食品库存管理制度；③食品留样管理措施；④项目配备人员安全卫生管控措施；⑤项目分析、服务理念及经营目标。完全满足项目实际情况的，得1</w:t>
            </w:r>
            <w:r>
              <w:rPr>
                <w:rFonts w:hint="eastAsia" w:ascii="仿宋" w:hAnsi="仿宋" w:eastAsia="仿宋" w:cs="仿宋_GB2312"/>
                <w:bCs/>
                <w:szCs w:val="21"/>
                <w:lang w:val="en-US" w:eastAsia="zh-CN"/>
              </w:rPr>
              <w:t>5</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3</w:t>
            </w:r>
            <w:r>
              <w:rPr>
                <w:rFonts w:hint="eastAsia" w:ascii="仿宋" w:hAnsi="仿宋" w:eastAsia="仿宋" w:cs="仿宋_GB2312"/>
                <w:bCs/>
                <w:szCs w:val="21"/>
              </w:rPr>
              <w:t>分，每有一项方案内容有缺陷的扣1</w:t>
            </w:r>
            <w:r>
              <w:rPr>
                <w:rFonts w:hint="eastAsia" w:ascii="仿宋" w:hAnsi="仿宋" w:eastAsia="仿宋" w:cs="仿宋_GB2312"/>
                <w:bCs/>
                <w:szCs w:val="21"/>
                <w:lang w:val="en-US" w:eastAsia="zh-CN"/>
              </w:rPr>
              <w:t>.5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3</w:t>
            </w:r>
            <w:r>
              <w:rPr>
                <w:rFonts w:hint="eastAsia" w:ascii="仿宋" w:hAnsi="仿宋" w:eastAsia="仿宋" w:cs="仿宋_GB2312"/>
                <w:bCs/>
                <w:szCs w:val="21"/>
              </w:rPr>
              <w:t>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continue"/>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pPr>
              <w:autoSpaceDN w:val="0"/>
              <w:spacing w:line="360" w:lineRule="auto"/>
              <w:jc w:val="center"/>
              <w:rPr>
                <w:rFonts w:ascii="仿宋" w:hAnsi="仿宋" w:eastAsia="仿宋" w:cs="仿宋_GB2312"/>
                <w:bCs/>
                <w:szCs w:val="21"/>
              </w:rPr>
            </w:pPr>
          </w:p>
        </w:tc>
        <w:tc>
          <w:tcPr>
            <w:tcW w:w="638" w:type="pct"/>
            <w:vMerge w:val="continue"/>
            <w:noWrap w:val="0"/>
            <w:vAlign w:val="center"/>
          </w:tcPr>
          <w:p>
            <w:pPr>
              <w:autoSpaceDN w:val="0"/>
              <w:spacing w:line="360" w:lineRule="auto"/>
              <w:jc w:val="center"/>
              <w:rPr>
                <w:rFonts w:ascii="仿宋" w:hAnsi="仿宋" w:eastAsia="仿宋" w:cs="仿宋_GB2312"/>
                <w:bCs/>
                <w:szCs w:val="21"/>
              </w:rPr>
            </w:pPr>
          </w:p>
        </w:tc>
        <w:tc>
          <w:tcPr>
            <w:tcW w:w="369" w:type="pct"/>
            <w:vMerge w:val="continue"/>
            <w:noWrap w:val="0"/>
            <w:vAlign w:val="center"/>
          </w:tcPr>
          <w:p>
            <w:pPr>
              <w:autoSpaceDN w:val="0"/>
              <w:spacing w:line="360" w:lineRule="auto"/>
              <w:jc w:val="left"/>
              <w:rPr>
                <w:rFonts w:ascii="仿宋" w:hAnsi="仿宋" w:eastAsia="仿宋" w:cs="仿宋_GB2312"/>
                <w:bCs/>
                <w:szCs w:val="21"/>
              </w:rPr>
            </w:pPr>
          </w:p>
        </w:tc>
        <w:tc>
          <w:tcPr>
            <w:tcW w:w="621"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应急处置（保障）方案</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5</w:t>
            </w:r>
            <w:r>
              <w:rPr>
                <w:rFonts w:hint="eastAsia" w:ascii="仿宋" w:hAnsi="仿宋" w:eastAsia="仿宋" w:cs="仿宋_GB2312"/>
                <w:bCs/>
                <w:szCs w:val="21"/>
              </w:rPr>
              <w:t>分</w:t>
            </w:r>
          </w:p>
        </w:tc>
        <w:tc>
          <w:tcPr>
            <w:tcW w:w="1602" w:type="pct"/>
            <w:gridSpan w:val="2"/>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eastAsia="zh-CN"/>
              </w:rPr>
              <w:t>参选机构</w:t>
            </w:r>
            <w:r>
              <w:rPr>
                <w:rFonts w:hint="eastAsia" w:ascii="仿宋" w:hAnsi="仿宋" w:eastAsia="仿宋" w:cs="仿宋_GB2312"/>
                <w:bCs/>
                <w:szCs w:val="21"/>
              </w:rPr>
              <w:t>根据本项目特点，提供应急处置（保障）方案（包含：①临时加餐、临时接待方案；②停水停电停气应急方案；③食品安全事故处理方案</w:t>
            </w:r>
            <w:r>
              <w:rPr>
                <w:rFonts w:hint="eastAsia" w:ascii="仿宋" w:hAnsi="仿宋" w:eastAsia="仿宋" w:cs="仿宋_GB2312"/>
                <w:bCs/>
                <w:szCs w:val="21"/>
                <w:lang w:eastAsia="zh-CN"/>
              </w:rPr>
              <w:t>；</w:t>
            </w:r>
            <w:r>
              <w:rPr>
                <w:rFonts w:hint="eastAsia" w:ascii="仿宋" w:hAnsi="仿宋" w:eastAsia="仿宋" w:cs="仿宋_GB2312"/>
                <w:bCs/>
                <w:szCs w:val="21"/>
              </w:rPr>
              <w:t>④燃气泄漏、水管爆裂、火灾、等各类突发事件处理方案；⑤治安及意外事故处理方案），完全满足项目实际情况的，得</w:t>
            </w:r>
            <w:r>
              <w:rPr>
                <w:rFonts w:hint="eastAsia" w:ascii="仿宋" w:hAnsi="仿宋" w:eastAsia="仿宋" w:cs="仿宋_GB2312"/>
                <w:bCs/>
                <w:szCs w:val="21"/>
                <w:lang w:val="en-US" w:eastAsia="zh-CN"/>
              </w:rPr>
              <w:t>5</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1</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0.5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1</w:t>
            </w:r>
            <w:r>
              <w:rPr>
                <w:rFonts w:hint="eastAsia" w:ascii="仿宋" w:hAnsi="仿宋" w:eastAsia="仿宋" w:cs="仿宋_GB2312"/>
                <w:bCs/>
                <w:szCs w:val="21"/>
              </w:rPr>
              <w:t>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continue"/>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pPr>
              <w:autoSpaceDN w:val="0"/>
              <w:spacing w:line="360" w:lineRule="auto"/>
              <w:jc w:val="center"/>
              <w:rPr>
                <w:rFonts w:ascii="仿宋" w:hAnsi="仿宋" w:eastAsia="仿宋" w:cs="仿宋_GB2312"/>
                <w:bCs/>
                <w:szCs w:val="21"/>
              </w:rPr>
            </w:pPr>
          </w:p>
        </w:tc>
        <w:tc>
          <w:tcPr>
            <w:tcW w:w="638" w:type="pct"/>
            <w:vMerge w:val="continue"/>
            <w:noWrap w:val="0"/>
            <w:vAlign w:val="center"/>
          </w:tcPr>
          <w:p>
            <w:pPr>
              <w:autoSpaceDN w:val="0"/>
              <w:spacing w:line="360" w:lineRule="auto"/>
              <w:jc w:val="center"/>
              <w:rPr>
                <w:rFonts w:ascii="仿宋" w:hAnsi="仿宋" w:eastAsia="仿宋" w:cs="仿宋_GB2312"/>
                <w:bCs/>
                <w:szCs w:val="21"/>
              </w:rPr>
            </w:pPr>
          </w:p>
        </w:tc>
        <w:tc>
          <w:tcPr>
            <w:tcW w:w="369" w:type="pct"/>
            <w:vMerge w:val="continue"/>
            <w:noWrap w:val="0"/>
            <w:vAlign w:val="center"/>
          </w:tcPr>
          <w:p>
            <w:pPr>
              <w:autoSpaceDN w:val="0"/>
              <w:spacing w:line="360" w:lineRule="auto"/>
              <w:jc w:val="left"/>
              <w:rPr>
                <w:rFonts w:ascii="仿宋" w:hAnsi="仿宋" w:eastAsia="仿宋" w:cs="仿宋_GB2312"/>
                <w:bCs/>
                <w:szCs w:val="21"/>
              </w:rPr>
            </w:pPr>
          </w:p>
        </w:tc>
        <w:tc>
          <w:tcPr>
            <w:tcW w:w="621"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运营服务方案</w:t>
            </w:r>
            <w:r>
              <w:rPr>
                <w:rFonts w:hint="eastAsia" w:ascii="仿宋" w:hAnsi="仿宋" w:eastAsia="仿宋" w:cs="仿宋_GB2312"/>
                <w:bCs/>
                <w:szCs w:val="21"/>
                <w:lang w:val="en-US" w:eastAsia="zh-CN"/>
              </w:rPr>
              <w:t>5</w:t>
            </w:r>
            <w:r>
              <w:rPr>
                <w:rFonts w:hint="eastAsia" w:ascii="仿宋" w:hAnsi="仿宋" w:eastAsia="仿宋" w:cs="仿宋_GB2312"/>
                <w:bCs/>
                <w:szCs w:val="21"/>
              </w:rPr>
              <w:t>分</w:t>
            </w:r>
          </w:p>
        </w:tc>
        <w:tc>
          <w:tcPr>
            <w:tcW w:w="1602" w:type="pct"/>
            <w:gridSpan w:val="2"/>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的运营服务方案，包括：①劳动争议处理流程及相关措施；②制止餐饮浪费的制度、措施；③餐厅环境管理措施；④成本控制措施及能源控制方案；⑤投诉处理措施。完全满足项目实际情况的得</w:t>
            </w:r>
            <w:r>
              <w:rPr>
                <w:rFonts w:hint="eastAsia" w:ascii="仿宋" w:hAnsi="仿宋" w:eastAsia="仿宋" w:cs="仿宋_GB2312"/>
                <w:bCs/>
                <w:szCs w:val="21"/>
                <w:lang w:val="en-US" w:eastAsia="zh-CN"/>
              </w:rPr>
              <w:t>5</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1</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0.5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1</w:t>
            </w:r>
            <w:r>
              <w:rPr>
                <w:rFonts w:hint="eastAsia" w:ascii="仿宋" w:hAnsi="仿宋" w:eastAsia="仿宋" w:cs="仿宋_GB2312"/>
                <w:bCs/>
                <w:szCs w:val="21"/>
              </w:rPr>
              <w:t>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continue"/>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3</w:t>
            </w:r>
          </w:p>
        </w:tc>
        <w:tc>
          <w:tcPr>
            <w:tcW w:w="638" w:type="pct"/>
            <w:noWrap w:val="0"/>
            <w:vAlign w:val="center"/>
          </w:tcPr>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拟投入本项目的人员</w:t>
            </w:r>
          </w:p>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15</w:t>
            </w:r>
            <w:r>
              <w:rPr>
                <w:rFonts w:hint="eastAsia" w:ascii="仿宋" w:hAnsi="仿宋" w:eastAsia="仿宋" w:cs="仿宋_GB2312"/>
                <w:bCs/>
                <w:szCs w:val="21"/>
              </w:rPr>
              <w:t>%</w:t>
            </w:r>
          </w:p>
        </w:tc>
        <w:tc>
          <w:tcPr>
            <w:tcW w:w="369"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15</w:t>
            </w:r>
            <w:r>
              <w:rPr>
                <w:rFonts w:hint="eastAsia" w:ascii="仿宋" w:hAnsi="仿宋" w:eastAsia="仿宋" w:cs="仿宋_GB2312"/>
                <w:bCs/>
                <w:szCs w:val="21"/>
              </w:rPr>
              <w:t>分</w:t>
            </w:r>
          </w:p>
        </w:tc>
        <w:tc>
          <w:tcPr>
            <w:tcW w:w="2224" w:type="pct"/>
            <w:gridSpan w:val="3"/>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拟投入食堂各级任职人员：</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在满足人员配置及要求的前提下：</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（1）每提供1名一级中式烹调师得3分；每提供 1 名二或三级中式烹调师得1分；本项最高得</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p>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rPr>
              <w:t>（2）提供1名</w:t>
            </w:r>
            <w:r>
              <w:rPr>
                <w:rFonts w:hint="eastAsia" w:ascii="仿宋" w:hAnsi="仿宋" w:eastAsia="仿宋" w:cs="仿宋_GB2312"/>
                <w:bCs/>
                <w:szCs w:val="21"/>
                <w:lang w:val="en-US" w:eastAsia="zh-CN"/>
              </w:rPr>
              <w:t>二</w:t>
            </w:r>
            <w:r>
              <w:rPr>
                <w:rFonts w:hint="eastAsia" w:ascii="仿宋" w:hAnsi="仿宋" w:eastAsia="仿宋" w:cs="仿宋_GB2312"/>
                <w:bCs/>
                <w:szCs w:val="21"/>
              </w:rPr>
              <w:t>级或以上</w:t>
            </w:r>
            <w:r>
              <w:rPr>
                <w:rFonts w:hint="eastAsia" w:ascii="仿宋" w:hAnsi="仿宋" w:eastAsia="仿宋" w:cs="仿宋_GB2312"/>
                <w:bCs/>
                <w:szCs w:val="21"/>
                <w:lang w:val="en-US" w:eastAsia="zh-CN"/>
              </w:rPr>
              <w:t>西</w:t>
            </w:r>
            <w:r>
              <w:rPr>
                <w:rFonts w:hint="eastAsia" w:ascii="仿宋" w:hAnsi="仿宋" w:eastAsia="仿宋" w:cs="仿宋_GB2312"/>
                <w:bCs/>
                <w:szCs w:val="21"/>
              </w:rPr>
              <w:t>点师，得</w:t>
            </w:r>
            <w:r>
              <w:rPr>
                <w:rFonts w:hint="eastAsia" w:ascii="仿宋" w:hAnsi="仿宋" w:eastAsia="仿宋" w:cs="仿宋_GB2312"/>
                <w:bCs/>
                <w:szCs w:val="21"/>
                <w:lang w:val="en-US" w:eastAsia="zh-CN"/>
              </w:rPr>
              <w:t>3</w:t>
            </w:r>
            <w:r>
              <w:rPr>
                <w:rFonts w:hint="eastAsia" w:ascii="仿宋" w:hAnsi="仿宋" w:eastAsia="仿宋" w:cs="仿宋_GB2312"/>
                <w:bCs/>
                <w:szCs w:val="21"/>
              </w:rPr>
              <w:t>分；提供1名四级或五级面点师得1分。本项最高得</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p>
            <w:pPr>
              <w:autoSpaceDN w:val="0"/>
              <w:spacing w:line="360" w:lineRule="auto"/>
              <w:jc w:val="left"/>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（3）总配置人员不少于16人，每增加一个人，加0.5分，最多增加3分。</w:t>
            </w:r>
          </w:p>
        </w:tc>
        <w:tc>
          <w:tcPr>
            <w:tcW w:w="1370"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以上均需提供人员相关证</w:t>
            </w:r>
            <w:r>
              <w:rPr>
                <w:rFonts w:hint="eastAsia" w:ascii="仿宋" w:hAnsi="仿宋" w:eastAsia="仿宋" w:cs="仿宋_GB2312"/>
                <w:bCs/>
                <w:szCs w:val="21"/>
                <w:lang w:val="en-US" w:eastAsia="zh-CN"/>
              </w:rPr>
              <w:t>件</w:t>
            </w:r>
            <w:r>
              <w:rPr>
                <w:rFonts w:hint="eastAsia" w:ascii="仿宋" w:hAnsi="仿宋" w:eastAsia="仿宋" w:cs="仿宋_GB2312"/>
                <w:bCs/>
                <w:szCs w:val="21"/>
              </w:rPr>
              <w:t>复印件并加盖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4</w:t>
            </w:r>
          </w:p>
        </w:tc>
        <w:tc>
          <w:tcPr>
            <w:tcW w:w="638" w:type="pct"/>
            <w:noWrap w:val="0"/>
            <w:vAlign w:val="center"/>
          </w:tcPr>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类似业绩</w:t>
            </w:r>
          </w:p>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8</w:t>
            </w:r>
            <w:r>
              <w:rPr>
                <w:rFonts w:hint="eastAsia" w:ascii="仿宋" w:hAnsi="仿宋" w:eastAsia="仿宋" w:cs="仿宋_GB2312"/>
                <w:bCs/>
                <w:szCs w:val="21"/>
              </w:rPr>
              <w:t>%</w:t>
            </w:r>
          </w:p>
        </w:tc>
        <w:tc>
          <w:tcPr>
            <w:tcW w:w="369"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8</w:t>
            </w:r>
            <w:r>
              <w:rPr>
                <w:rFonts w:hint="eastAsia" w:ascii="仿宋" w:hAnsi="仿宋" w:eastAsia="仿宋" w:cs="仿宋_GB2312"/>
                <w:bCs/>
                <w:szCs w:val="21"/>
              </w:rPr>
              <w:t>分</w:t>
            </w:r>
          </w:p>
        </w:tc>
        <w:tc>
          <w:tcPr>
            <w:tcW w:w="2224" w:type="pct"/>
            <w:gridSpan w:val="3"/>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（1）根据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提供的（20</w:t>
            </w:r>
            <w:r>
              <w:rPr>
                <w:rFonts w:hint="eastAsia" w:ascii="仿宋" w:hAnsi="仿宋" w:eastAsia="仿宋" w:cs="仿宋_GB2312"/>
                <w:bCs/>
                <w:szCs w:val="21"/>
                <w:lang w:val="en-US" w:eastAsia="zh-CN"/>
              </w:rPr>
              <w:t>21</w:t>
            </w:r>
            <w:r>
              <w:rPr>
                <w:rFonts w:hint="eastAsia" w:ascii="仿宋" w:hAnsi="仿宋" w:eastAsia="仿宋" w:cs="仿宋_GB2312"/>
                <w:bCs/>
                <w:szCs w:val="21"/>
              </w:rPr>
              <w:t>年1月1日-至递交响应文件截止日）</w:t>
            </w:r>
            <w:r>
              <w:rPr>
                <w:rFonts w:hint="eastAsia" w:ascii="仿宋" w:hAnsi="仿宋" w:eastAsia="仿宋" w:cs="仿宋_GB2312"/>
                <w:bCs/>
                <w:szCs w:val="21"/>
                <w:lang w:eastAsia="zh-CN"/>
              </w:rPr>
              <w:t>医院</w:t>
            </w:r>
            <w:r>
              <w:rPr>
                <w:rFonts w:hint="eastAsia" w:ascii="仿宋" w:hAnsi="仿宋" w:eastAsia="仿宋" w:cs="仿宋_GB2312"/>
                <w:bCs/>
                <w:szCs w:val="21"/>
              </w:rPr>
              <w:t>业绩，进行评定，每提供一个</w:t>
            </w:r>
            <w:r>
              <w:rPr>
                <w:rFonts w:hint="eastAsia" w:ascii="仿宋" w:hAnsi="仿宋" w:eastAsia="仿宋" w:cs="仿宋_GB2312"/>
                <w:bCs/>
                <w:szCs w:val="21"/>
                <w:lang w:eastAsia="zh-CN"/>
              </w:rPr>
              <w:t>与医院合作类似</w:t>
            </w:r>
            <w:r>
              <w:rPr>
                <w:rFonts w:hint="eastAsia" w:ascii="仿宋" w:hAnsi="仿宋" w:eastAsia="仿宋" w:cs="仿宋_GB2312"/>
                <w:bCs/>
                <w:szCs w:val="21"/>
              </w:rPr>
              <w:t>业绩得</w:t>
            </w:r>
            <w:r>
              <w:rPr>
                <w:rFonts w:hint="eastAsia" w:ascii="仿宋" w:hAnsi="仿宋" w:eastAsia="仿宋" w:cs="仿宋_GB2312"/>
                <w:bCs/>
                <w:szCs w:val="21"/>
                <w:lang w:val="en-US" w:eastAsia="zh-CN"/>
              </w:rPr>
              <w:t>2</w:t>
            </w:r>
            <w:r>
              <w:rPr>
                <w:rFonts w:hint="eastAsia" w:ascii="仿宋" w:hAnsi="仿宋" w:eastAsia="仿宋" w:cs="仿宋_GB2312"/>
                <w:bCs/>
                <w:szCs w:val="21"/>
              </w:rPr>
              <w:t>分，本项最多得</w:t>
            </w:r>
            <w:r>
              <w:rPr>
                <w:rFonts w:hint="eastAsia" w:ascii="仿宋" w:hAnsi="仿宋" w:eastAsia="仿宋" w:cs="仿宋_GB2312"/>
                <w:bCs/>
                <w:szCs w:val="21"/>
                <w:lang w:val="en-US" w:eastAsia="zh-CN"/>
              </w:rPr>
              <w:t>8</w:t>
            </w:r>
            <w:r>
              <w:rPr>
                <w:rFonts w:hint="eastAsia" w:ascii="仿宋" w:hAnsi="仿宋" w:eastAsia="仿宋" w:cs="仿宋_GB2312"/>
                <w:bCs/>
                <w:szCs w:val="21"/>
              </w:rPr>
              <w:t>分。</w:t>
            </w:r>
          </w:p>
        </w:tc>
        <w:tc>
          <w:tcPr>
            <w:tcW w:w="1370"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响应文件中需提供合同扫描件并加盖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5</w:t>
            </w:r>
          </w:p>
        </w:tc>
        <w:tc>
          <w:tcPr>
            <w:tcW w:w="638" w:type="pct"/>
            <w:noWrap w:val="0"/>
            <w:vAlign w:val="center"/>
          </w:tcPr>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综合实力</w:t>
            </w:r>
          </w:p>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6</w:t>
            </w:r>
            <w:r>
              <w:rPr>
                <w:rFonts w:hint="eastAsia" w:ascii="仿宋" w:hAnsi="仿宋" w:eastAsia="仿宋" w:cs="仿宋_GB2312"/>
                <w:bCs/>
                <w:szCs w:val="21"/>
              </w:rPr>
              <w:t>%</w:t>
            </w:r>
          </w:p>
        </w:tc>
        <w:tc>
          <w:tcPr>
            <w:tcW w:w="369"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2224" w:type="pct"/>
            <w:gridSpan w:val="3"/>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（1）</w:t>
            </w:r>
            <w:r>
              <w:rPr>
                <w:rFonts w:hint="eastAsia" w:ascii="仿宋" w:hAnsi="仿宋" w:eastAsia="仿宋" w:cs="仿宋_GB2312"/>
                <w:bCs/>
                <w:szCs w:val="21"/>
                <w:lang w:eastAsia="zh-CN"/>
              </w:rPr>
              <w:t>参选机构</w:t>
            </w:r>
            <w:r>
              <w:rPr>
                <w:rFonts w:hint="eastAsia" w:ascii="仿宋" w:hAnsi="仿宋" w:eastAsia="仿宋" w:cs="仿宋_GB2312"/>
                <w:bCs/>
                <w:szCs w:val="21"/>
              </w:rPr>
              <w:t>具有有效的质量管理体系认证证书得</w:t>
            </w:r>
            <w:r>
              <w:rPr>
                <w:rFonts w:hint="eastAsia" w:ascii="仿宋" w:hAnsi="仿宋" w:eastAsia="仿宋" w:cs="仿宋_GB2312"/>
                <w:bCs/>
                <w:szCs w:val="21"/>
                <w:lang w:val="en-US" w:eastAsia="zh-CN"/>
              </w:rPr>
              <w:t>2</w:t>
            </w:r>
            <w:r>
              <w:rPr>
                <w:rFonts w:hint="eastAsia" w:ascii="仿宋" w:hAnsi="仿宋" w:eastAsia="仿宋" w:cs="仿宋_GB2312"/>
                <w:bCs/>
                <w:szCs w:val="21"/>
              </w:rPr>
              <w:t>分。</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（2）</w:t>
            </w:r>
            <w:r>
              <w:rPr>
                <w:rFonts w:hint="eastAsia" w:ascii="仿宋" w:hAnsi="仿宋" w:eastAsia="仿宋" w:cs="仿宋_GB2312"/>
                <w:bCs/>
                <w:szCs w:val="21"/>
                <w:lang w:eastAsia="zh-CN"/>
              </w:rPr>
              <w:t>参选机构</w:t>
            </w:r>
            <w:r>
              <w:rPr>
                <w:rFonts w:hint="eastAsia" w:ascii="仿宋" w:hAnsi="仿宋" w:eastAsia="仿宋" w:cs="仿宋_GB2312"/>
                <w:bCs/>
                <w:szCs w:val="21"/>
              </w:rPr>
              <w:t>具有有效的食品安全管理体系认证证书得</w:t>
            </w:r>
            <w:r>
              <w:rPr>
                <w:rFonts w:hint="eastAsia" w:ascii="仿宋" w:hAnsi="仿宋" w:eastAsia="仿宋" w:cs="仿宋_GB2312"/>
                <w:bCs/>
                <w:szCs w:val="21"/>
                <w:lang w:val="en-US" w:eastAsia="zh-CN"/>
              </w:rPr>
              <w:t>2</w:t>
            </w:r>
            <w:r>
              <w:rPr>
                <w:rFonts w:hint="eastAsia" w:ascii="仿宋" w:hAnsi="仿宋" w:eastAsia="仿宋" w:cs="仿宋_GB2312"/>
                <w:bCs/>
                <w:szCs w:val="21"/>
              </w:rPr>
              <w:t>分。</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（3）</w:t>
            </w:r>
            <w:r>
              <w:rPr>
                <w:rFonts w:hint="eastAsia" w:ascii="仿宋" w:hAnsi="仿宋" w:eastAsia="仿宋" w:cs="仿宋_GB2312"/>
                <w:bCs/>
                <w:szCs w:val="21"/>
                <w:lang w:eastAsia="zh-CN"/>
              </w:rPr>
              <w:t>参选机构</w:t>
            </w:r>
            <w:r>
              <w:rPr>
                <w:rFonts w:hint="eastAsia" w:ascii="仿宋" w:hAnsi="仿宋" w:eastAsia="仿宋" w:cs="仿宋_GB2312"/>
                <w:bCs/>
                <w:szCs w:val="21"/>
              </w:rPr>
              <w:t>具有有效的职业健康安全管理体系认证证书的得</w:t>
            </w:r>
            <w:r>
              <w:rPr>
                <w:rFonts w:hint="eastAsia" w:ascii="仿宋" w:hAnsi="仿宋" w:eastAsia="仿宋" w:cs="仿宋_GB2312"/>
                <w:bCs/>
                <w:szCs w:val="21"/>
                <w:lang w:val="en-US" w:eastAsia="zh-CN"/>
              </w:rPr>
              <w:t>2</w:t>
            </w:r>
            <w:r>
              <w:rPr>
                <w:rFonts w:hint="eastAsia" w:ascii="仿宋" w:hAnsi="仿宋" w:eastAsia="仿宋" w:cs="仿宋_GB2312"/>
                <w:bCs/>
                <w:szCs w:val="21"/>
              </w:rPr>
              <w:t>分。注：</w:t>
            </w:r>
            <w:r>
              <w:rPr>
                <w:rFonts w:hint="eastAsia" w:ascii="仿宋" w:hAnsi="仿宋" w:eastAsia="仿宋" w:cs="仿宋_GB2312"/>
                <w:bCs/>
                <w:szCs w:val="21"/>
                <w:lang w:val="zh-TW"/>
              </w:rPr>
              <w:t>提供有效期内的证书</w:t>
            </w:r>
            <w:r>
              <w:rPr>
                <w:rFonts w:hint="eastAsia" w:ascii="仿宋" w:hAnsi="仿宋" w:eastAsia="仿宋" w:cs="仿宋_GB2312"/>
                <w:bCs/>
                <w:szCs w:val="21"/>
              </w:rPr>
              <w:t>扫描</w:t>
            </w:r>
            <w:r>
              <w:rPr>
                <w:rFonts w:hint="eastAsia" w:ascii="仿宋" w:hAnsi="仿宋" w:eastAsia="仿宋" w:cs="仿宋_GB2312"/>
                <w:bCs/>
                <w:szCs w:val="21"/>
                <w:lang w:val="zh-TW"/>
              </w:rPr>
              <w:t>件及</w:t>
            </w:r>
            <w:r>
              <w:rPr>
                <w:rFonts w:hint="eastAsia" w:ascii="仿宋" w:hAnsi="仿宋" w:eastAsia="仿宋" w:cs="仿宋_GB2312"/>
                <w:bCs/>
                <w:szCs w:val="21"/>
              </w:rPr>
              <w:t>官方</w:t>
            </w:r>
            <w:r>
              <w:rPr>
                <w:rFonts w:hint="eastAsia" w:ascii="仿宋" w:hAnsi="仿宋" w:eastAsia="仿宋" w:cs="仿宋_GB2312"/>
                <w:bCs/>
                <w:szCs w:val="21"/>
                <w:lang w:val="zh-TW"/>
              </w:rPr>
              <w:t>网站查询结果截图（</w:t>
            </w:r>
            <w:r>
              <w:rPr>
                <w:rFonts w:hint="eastAsia" w:ascii="仿宋" w:hAnsi="仿宋" w:eastAsia="仿宋" w:cs="仿宋_GB2312"/>
                <w:bCs/>
                <w:szCs w:val="21"/>
              </w:rPr>
              <w:t>国家认证认可监督管理委员会http://www.cnca.gov.cn/）并加盖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w:t>
            </w:r>
          </w:p>
        </w:tc>
        <w:tc>
          <w:tcPr>
            <w:tcW w:w="1370" w:type="pct"/>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noWrap w:val="0"/>
            <w:vAlign w:val="center"/>
          </w:tcPr>
          <w:p>
            <w:pPr>
              <w:jc w:val="center"/>
              <w:rPr>
                <w:rFonts w:ascii="仿宋" w:hAnsi="仿宋" w:eastAsia="仿宋" w:cs="宋体"/>
                <w:szCs w:val="21"/>
              </w:rPr>
            </w:pPr>
            <w:r>
              <w:rPr>
                <w:rFonts w:hint="eastAsia" w:ascii="仿宋" w:hAnsi="仿宋" w:eastAsia="仿宋" w:cs="仿宋_GB2312"/>
                <w:bCs/>
                <w:szCs w:val="21"/>
              </w:rPr>
              <w:t>注：①本表中所涉及的评审资料是响应文件的重要组成内容，未按要求提供或资料不全的将导致相应得分的丢失。②本表中所涉及的评审资料，</w:t>
            </w:r>
            <w:r>
              <w:rPr>
                <w:rFonts w:hint="eastAsia" w:ascii="仿宋" w:hAnsi="仿宋" w:eastAsia="仿宋" w:cs="仿宋_GB2312"/>
                <w:bCs/>
                <w:szCs w:val="21"/>
                <w:lang w:eastAsia="zh-CN"/>
              </w:rPr>
              <w:t>参选机构</w:t>
            </w:r>
            <w:r>
              <w:rPr>
                <w:rFonts w:hint="eastAsia" w:ascii="仿宋" w:hAnsi="仿宋" w:eastAsia="仿宋" w:cs="仿宋_GB2312"/>
                <w:bCs/>
                <w:szCs w:val="21"/>
              </w:rPr>
              <w:t>应当在响应文件中按要求提交原件或复印件，并对其真实性负责。③评分的取值按四舍五入法，保留小数点后两位。④涉及评审的资料都应当清晰可辨，对于模糊或分辨不明的资料，评审专家可以不予以认可。</w:t>
            </w:r>
          </w:p>
        </w:tc>
      </w:tr>
    </w:tbl>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附件9-2</w:t>
      </w:r>
    </w:p>
    <w:p>
      <w:pPr>
        <w:adjustRightInd w:val="0"/>
        <w:snapToGrid w:val="0"/>
        <w:spacing w:line="480" w:lineRule="auto"/>
        <w:jc w:val="center"/>
        <w:outlineLvl w:val="9"/>
        <w:rPr>
          <w:rFonts w:hint="eastAsia" w:eastAsia="仿宋"/>
          <w:lang w:val="en-US" w:eastAsia="zh-CN"/>
        </w:rPr>
      </w:pPr>
      <w:r>
        <w:rPr>
          <w:rFonts w:hint="eastAsia" w:ascii="仿宋" w:hAnsi="仿宋" w:eastAsia="仿宋"/>
          <w:b/>
          <w:sz w:val="32"/>
          <w:szCs w:val="28"/>
        </w:rPr>
        <w:t>评审办法（综合评分明细表）</w:t>
      </w:r>
      <w:r>
        <w:rPr>
          <w:rFonts w:hint="eastAsia" w:ascii="仿宋" w:hAnsi="仿宋" w:eastAsia="仿宋"/>
          <w:b/>
          <w:sz w:val="32"/>
          <w:szCs w:val="28"/>
          <w:lang w:eastAsia="zh-CN"/>
        </w:rPr>
        <w:t>（第二包）</w:t>
      </w:r>
    </w:p>
    <w:tbl>
      <w:tblPr>
        <w:tblStyle w:val="9"/>
        <w:tblW w:w="9834"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14"/>
        <w:gridCol w:w="819"/>
        <w:gridCol w:w="782"/>
        <w:gridCol w:w="3975"/>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pPr>
              <w:autoSpaceDN w:val="0"/>
              <w:spacing w:line="560" w:lineRule="exact"/>
              <w:ind w:firstLine="28"/>
              <w:jc w:val="center"/>
              <w:rPr>
                <w:rFonts w:hint="eastAsia" w:ascii="仿宋" w:hAnsi="仿宋" w:eastAsia="仿宋" w:cs="仿宋_GB2312"/>
                <w:b/>
                <w:bCs w:val="0"/>
                <w:szCs w:val="21"/>
              </w:rPr>
            </w:pPr>
            <w:r>
              <w:rPr>
                <w:rFonts w:hint="eastAsia" w:ascii="仿宋" w:hAnsi="仿宋" w:eastAsia="仿宋" w:cs="仿宋_GB2312"/>
                <w:b/>
                <w:bCs w:val="0"/>
                <w:szCs w:val="21"/>
              </w:rPr>
              <w:t>序</w:t>
            </w:r>
          </w:p>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号</w:t>
            </w:r>
          </w:p>
        </w:tc>
        <w:tc>
          <w:tcPr>
            <w:tcW w:w="668" w:type="pct"/>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评分因素及权重</w:t>
            </w:r>
          </w:p>
        </w:tc>
        <w:tc>
          <w:tcPr>
            <w:tcW w:w="416" w:type="pct"/>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分值</w:t>
            </w:r>
          </w:p>
        </w:tc>
        <w:tc>
          <w:tcPr>
            <w:tcW w:w="2418" w:type="pct"/>
            <w:gridSpan w:val="2"/>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评分标准</w:t>
            </w:r>
          </w:p>
        </w:tc>
        <w:tc>
          <w:tcPr>
            <w:tcW w:w="1151" w:type="pct"/>
            <w:noWrap w:val="0"/>
            <w:vAlign w:val="center"/>
          </w:tcPr>
          <w:p>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1</w:t>
            </w:r>
          </w:p>
        </w:tc>
        <w:tc>
          <w:tcPr>
            <w:tcW w:w="668"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报价</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20</w:t>
            </w:r>
            <w:r>
              <w:rPr>
                <w:rFonts w:hint="eastAsia" w:ascii="仿宋" w:hAnsi="仿宋" w:eastAsia="仿宋" w:cs="仿宋_GB2312"/>
                <w:bCs/>
                <w:szCs w:val="21"/>
              </w:rPr>
              <w:t>%</w:t>
            </w:r>
          </w:p>
        </w:tc>
        <w:tc>
          <w:tcPr>
            <w:tcW w:w="416"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20</w:t>
            </w:r>
            <w:r>
              <w:rPr>
                <w:rFonts w:hint="eastAsia" w:ascii="仿宋" w:hAnsi="仿宋" w:eastAsia="仿宋" w:cs="仿宋_GB2312"/>
                <w:bCs/>
                <w:szCs w:val="21"/>
              </w:rPr>
              <w:t>分</w:t>
            </w:r>
          </w:p>
        </w:tc>
        <w:tc>
          <w:tcPr>
            <w:tcW w:w="2418" w:type="pct"/>
            <w:gridSpan w:val="2"/>
            <w:noWrap w:val="0"/>
            <w:vAlign w:val="center"/>
          </w:tcPr>
          <w:p>
            <w:pPr>
              <w:rPr>
                <w:rFonts w:ascii="仿宋" w:hAnsi="仿宋" w:eastAsia="仿宋" w:cs="仿宋_GB2312"/>
                <w:bCs/>
                <w:szCs w:val="21"/>
              </w:rPr>
            </w:pPr>
            <w:r>
              <w:rPr>
                <w:rFonts w:hint="eastAsia" w:ascii="仿宋" w:hAnsi="仿宋" w:eastAsia="仿宋" w:cs="仿宋_GB2312"/>
                <w:b w:val="0"/>
                <w:bCs/>
                <w:sz w:val="21"/>
                <w:szCs w:val="21"/>
                <w:lang w:bidi="ar"/>
              </w:rPr>
              <w:t>综合管理费用</w:t>
            </w:r>
            <w:r>
              <w:rPr>
                <w:rFonts w:hint="eastAsia" w:ascii="仿宋" w:hAnsi="仿宋" w:eastAsia="仿宋" w:cs="仿宋_GB2312"/>
                <w:bCs/>
                <w:color w:val="auto"/>
                <w:kern w:val="2"/>
                <w:sz w:val="21"/>
                <w:szCs w:val="21"/>
                <w:lang w:bidi="ar"/>
              </w:rPr>
              <w:t>：有效参选机构的平均报价为评标基准价，高于或等于评标基准价，其价格分为满分。其他投标人（报价低于评标基准价）的价格分统一按照下列公式计算：投标报价得分=（投标报价/评标基准价）×</w:t>
            </w:r>
            <w:r>
              <w:rPr>
                <w:rFonts w:hint="eastAsia" w:ascii="仿宋" w:hAnsi="仿宋" w:eastAsia="仿宋" w:cs="仿宋_GB2312"/>
                <w:bCs/>
                <w:color w:val="auto"/>
                <w:kern w:val="2"/>
                <w:sz w:val="21"/>
                <w:szCs w:val="21"/>
                <w:lang w:val="en-US" w:eastAsia="zh-CN" w:bidi="ar"/>
              </w:rPr>
              <w:t>20</w:t>
            </w:r>
            <w:r>
              <w:rPr>
                <w:rFonts w:hint="eastAsia" w:ascii="仿宋" w:hAnsi="仿宋" w:eastAsia="仿宋" w:cs="仿宋_GB2312"/>
                <w:bCs/>
                <w:color w:val="auto"/>
                <w:kern w:val="2"/>
                <w:sz w:val="21"/>
                <w:szCs w:val="21"/>
                <w:lang w:bidi="ar"/>
              </w:rPr>
              <w:t>。</w:t>
            </w:r>
          </w:p>
        </w:tc>
        <w:tc>
          <w:tcPr>
            <w:tcW w:w="1151" w:type="pct"/>
            <w:noWrap w:val="0"/>
            <w:vAlign w:val="center"/>
          </w:tcPr>
          <w:p>
            <w:pPr>
              <w:rPr>
                <w:rFonts w:hint="eastAsia" w:ascii="仿宋" w:hAnsi="仿宋" w:eastAsia="仿宋" w:cs="仿宋_GB2312"/>
                <w:bCs/>
                <w:color w:val="auto"/>
                <w:kern w:val="2"/>
                <w:sz w:val="21"/>
                <w:szCs w:val="21"/>
                <w:lang w:bidi="ar"/>
              </w:rPr>
            </w:pPr>
            <w:r>
              <w:rPr>
                <w:rFonts w:hint="eastAsia" w:ascii="仿宋" w:hAnsi="仿宋" w:eastAsia="仿宋" w:cs="仿宋_GB2312"/>
                <w:bCs/>
                <w:szCs w:val="21"/>
                <w:lang w:val="en-US" w:eastAsia="zh-CN"/>
              </w:rPr>
              <w:t>1.</w:t>
            </w:r>
            <w:r>
              <w:rPr>
                <w:rFonts w:hint="eastAsia" w:ascii="仿宋" w:hAnsi="仿宋" w:eastAsia="仿宋" w:cs="仿宋_GB2312"/>
                <w:bCs/>
                <w:color w:val="auto"/>
                <w:kern w:val="2"/>
                <w:sz w:val="21"/>
                <w:szCs w:val="21"/>
                <w:lang w:bidi="ar"/>
              </w:rPr>
              <w:t>评分的取值按四舍五入法，保留小数点后两位。</w:t>
            </w:r>
          </w:p>
          <w:p>
            <w:pPr>
              <w:rPr>
                <w:rFonts w:ascii="仿宋" w:hAnsi="仿宋" w:eastAsia="仿宋" w:cs="仿宋_GB2312"/>
                <w:bCs/>
                <w:szCs w:val="21"/>
              </w:rPr>
            </w:pPr>
            <w:r>
              <w:rPr>
                <w:rFonts w:hint="eastAsia" w:ascii="仿宋" w:hAnsi="仿宋" w:eastAsia="仿宋" w:cs="仿宋_GB2312"/>
                <w:bCs/>
                <w:color w:val="auto"/>
                <w:kern w:val="2"/>
                <w:sz w:val="21"/>
                <w:szCs w:val="21"/>
                <w:lang w:val="en-US" w:eastAsia="zh-CN" w:bidi="ar"/>
              </w:rPr>
              <w:t>2.</w:t>
            </w:r>
            <w:r>
              <w:rPr>
                <w:rFonts w:hint="eastAsia" w:ascii="仿宋" w:hAnsi="仿宋" w:eastAsia="仿宋" w:cs="仿宋_GB2312"/>
                <w:bCs/>
                <w:color w:val="auto"/>
                <w:kern w:val="2"/>
                <w:sz w:val="21"/>
                <w:szCs w:val="21"/>
                <w:lang w:eastAsia="zh-CN" w:bidi="ar"/>
              </w:rPr>
              <w:t>此报</w:t>
            </w:r>
            <w:r>
              <w:rPr>
                <w:rFonts w:hint="eastAsia" w:ascii="仿宋" w:hAnsi="仿宋" w:eastAsia="仿宋" w:cs="仿宋_GB2312"/>
                <w:bCs/>
                <w:color w:val="auto"/>
                <w:kern w:val="2"/>
                <w:sz w:val="21"/>
                <w:szCs w:val="21"/>
                <w:lang w:bidi="ar"/>
              </w:rPr>
              <w:t>价不得低于</w:t>
            </w:r>
            <w:r>
              <w:rPr>
                <w:rFonts w:hint="eastAsia" w:ascii="仿宋" w:hAnsi="仿宋" w:eastAsia="仿宋" w:cs="仿宋_GB2312"/>
                <w:bCs/>
                <w:color w:val="auto"/>
                <w:kern w:val="2"/>
                <w:sz w:val="21"/>
                <w:szCs w:val="21"/>
                <w:lang w:eastAsia="zh-CN" w:bidi="ar"/>
              </w:rPr>
              <w:t>8</w:t>
            </w:r>
            <w:r>
              <w:rPr>
                <w:rFonts w:hint="eastAsia" w:ascii="仿宋" w:hAnsi="仿宋" w:eastAsia="仿宋" w:cs="仿宋_GB2312"/>
                <w:bCs/>
                <w:color w:val="auto"/>
                <w:kern w:val="2"/>
                <w:sz w:val="21"/>
                <w:szCs w:val="21"/>
                <w:lang w:bidi="ar"/>
              </w:rPr>
              <w:t>万元</w:t>
            </w:r>
            <w:r>
              <w:rPr>
                <w:rFonts w:hint="eastAsia" w:ascii="仿宋" w:hAnsi="仿宋" w:eastAsia="仿宋" w:cs="仿宋_GB2312"/>
                <w:bCs/>
                <w:color w:val="auto"/>
                <w:kern w:val="2"/>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restart"/>
            <w:noWrap w:val="0"/>
            <w:vAlign w:val="center"/>
          </w:tcPr>
          <w:p>
            <w:pPr>
              <w:autoSpaceDN w:val="0"/>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2</w:t>
            </w:r>
          </w:p>
          <w:p>
            <w:pPr>
              <w:autoSpaceDN w:val="0"/>
              <w:spacing w:line="360" w:lineRule="auto"/>
              <w:jc w:val="center"/>
              <w:rPr>
                <w:rFonts w:hint="eastAsia" w:ascii="仿宋" w:hAnsi="仿宋" w:eastAsia="仿宋" w:cs="仿宋_GB2312"/>
                <w:bCs/>
                <w:szCs w:val="21"/>
                <w:lang w:eastAsia="zh-CN"/>
              </w:rPr>
            </w:pPr>
          </w:p>
        </w:tc>
        <w:tc>
          <w:tcPr>
            <w:tcW w:w="668" w:type="pct"/>
            <w:vMerge w:val="restart"/>
            <w:noWrap w:val="0"/>
            <w:vAlign w:val="center"/>
          </w:tcPr>
          <w:p>
            <w:pPr>
              <w:autoSpaceDN w:val="0"/>
              <w:spacing w:line="360" w:lineRule="auto"/>
              <w:jc w:val="left"/>
              <w:rPr>
                <w:rFonts w:hint="default" w:ascii="仿宋" w:hAnsi="仿宋" w:eastAsia="仿宋" w:cs="仿宋_GB2312"/>
                <w:bCs/>
                <w:szCs w:val="21"/>
                <w:lang w:val="en-US" w:eastAsia="zh-CN"/>
              </w:rPr>
            </w:pP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服务方案</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62</w:t>
            </w:r>
            <w:r>
              <w:rPr>
                <w:rFonts w:hint="eastAsia" w:ascii="仿宋" w:hAnsi="仿宋" w:eastAsia="仿宋" w:cs="仿宋_GB2312"/>
                <w:bCs/>
                <w:szCs w:val="21"/>
              </w:rPr>
              <w:t>%</w:t>
            </w:r>
          </w:p>
        </w:tc>
        <w:tc>
          <w:tcPr>
            <w:tcW w:w="416" w:type="pct"/>
            <w:vMerge w:val="restart"/>
            <w:noWrap w:val="0"/>
            <w:vAlign w:val="center"/>
          </w:tcPr>
          <w:p>
            <w:pPr>
              <w:autoSpaceDN w:val="0"/>
              <w:spacing w:line="360" w:lineRule="auto"/>
              <w:jc w:val="left"/>
              <w:rPr>
                <w:rFonts w:hint="eastAsia" w:ascii="仿宋" w:hAnsi="仿宋" w:eastAsia="仿宋" w:cs="仿宋_GB2312"/>
                <w:bCs/>
                <w:szCs w:val="21"/>
                <w:lang w:val="en-US" w:eastAsia="zh-CN"/>
              </w:rPr>
            </w:pP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62</w:t>
            </w:r>
            <w:r>
              <w:rPr>
                <w:rFonts w:hint="eastAsia" w:ascii="仿宋" w:hAnsi="仿宋" w:eastAsia="仿宋" w:cs="仿宋_GB2312"/>
                <w:bCs/>
                <w:szCs w:val="21"/>
              </w:rPr>
              <w:t>分</w:t>
            </w:r>
          </w:p>
        </w:tc>
        <w:tc>
          <w:tcPr>
            <w:tcW w:w="397" w:type="pct"/>
            <w:noWrap w:val="0"/>
            <w:vAlign w:val="center"/>
          </w:tcPr>
          <w:p>
            <w:pPr>
              <w:rPr>
                <w:rFonts w:hint="eastAsia" w:ascii="仿宋" w:hAnsi="仿宋" w:eastAsia="仿宋" w:cs="仿宋_GB2312"/>
                <w:b w:val="0"/>
                <w:bCs/>
                <w:sz w:val="21"/>
                <w:szCs w:val="21"/>
                <w:lang w:bidi="ar"/>
              </w:rPr>
            </w:pPr>
            <w:r>
              <w:rPr>
                <w:rFonts w:hint="eastAsia" w:ascii="仿宋" w:hAnsi="仿宋" w:eastAsia="仿宋" w:cs="仿宋_GB2312"/>
                <w:bCs/>
                <w:szCs w:val="21"/>
                <w:lang w:val="en-US" w:eastAsia="zh-CN"/>
              </w:rPr>
              <w:t>综合管理能力评价方案20</w:t>
            </w:r>
            <w:r>
              <w:rPr>
                <w:rFonts w:hint="eastAsia" w:ascii="仿宋" w:hAnsi="仿宋" w:eastAsia="仿宋" w:cs="仿宋_GB2312"/>
                <w:bCs/>
                <w:szCs w:val="21"/>
              </w:rPr>
              <w:t>分</w:t>
            </w:r>
          </w:p>
        </w:tc>
        <w:tc>
          <w:tcPr>
            <w:tcW w:w="2021" w:type="pct"/>
            <w:noWrap w:val="0"/>
            <w:vAlign w:val="center"/>
          </w:tcPr>
          <w:p>
            <w:pP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综合管理能力评价以综合管理费用（递增）为评审依据，要求递增率不低于5%，在5%基础上每增加1%，增加2分，最高不超过20分</w:t>
            </w:r>
            <w:r>
              <w:rPr>
                <w:rFonts w:hint="eastAsia" w:ascii="仿宋" w:hAnsi="仿宋" w:eastAsia="仿宋" w:cs="仿宋_GB2312"/>
                <w:bCs/>
                <w:szCs w:val="21"/>
              </w:rPr>
              <w:t>。</w:t>
            </w:r>
          </w:p>
        </w:tc>
        <w:tc>
          <w:tcPr>
            <w:tcW w:w="1151" w:type="pct"/>
            <w:noWrap w:val="0"/>
            <w:vAlign w:val="center"/>
          </w:tcPr>
          <w:p>
            <w:pPr>
              <w:autoSpaceDN/>
              <w:spacing w:line="240" w:lineRule="auto"/>
              <w:jc w:val="left"/>
              <w:rPr>
                <w:rFonts w:hint="eastAsia" w:ascii="仿宋" w:hAnsi="仿宋" w:eastAsia="仿宋" w:cs="仿宋_GB2312"/>
                <w:bCs/>
                <w:color w:val="auto"/>
                <w:szCs w:val="21"/>
                <w:lang w:bidi="ar"/>
              </w:rPr>
            </w:pPr>
            <w:r>
              <w:rPr>
                <w:rFonts w:hint="eastAsia" w:ascii="仿宋" w:hAnsi="仿宋" w:eastAsia="仿宋" w:cs="仿宋_GB2312"/>
                <w:bCs/>
                <w:color w:val="auto"/>
                <w:szCs w:val="21"/>
                <w:lang w:val="en-US" w:eastAsia="zh-CN" w:bidi="ar"/>
              </w:rPr>
              <w:t>1.</w:t>
            </w:r>
            <w:r>
              <w:rPr>
                <w:rFonts w:hint="eastAsia" w:ascii="仿宋" w:hAnsi="仿宋" w:eastAsia="仿宋" w:cs="仿宋_GB2312"/>
                <w:bCs/>
                <w:color w:val="auto"/>
                <w:szCs w:val="21"/>
                <w:lang w:bidi="ar"/>
              </w:rPr>
              <w:t>评分的取值按四舍五入法，保留小数点后两位。</w:t>
            </w:r>
          </w:p>
          <w:p>
            <w:pPr>
              <w:rPr>
                <w:rFonts w:hint="eastAsia" w:ascii="仿宋" w:hAnsi="仿宋" w:eastAsia="仿宋" w:cs="仿宋_GB2312"/>
                <w:bCs/>
                <w:color w:val="auto"/>
                <w:kern w:val="2"/>
                <w:sz w:val="21"/>
                <w:szCs w:val="21"/>
                <w:lang w:val="en-US" w:eastAsia="zh-CN" w:bidi="ar"/>
              </w:rPr>
            </w:pPr>
            <w:r>
              <w:rPr>
                <w:rFonts w:hint="eastAsia" w:ascii="仿宋" w:hAnsi="仿宋" w:eastAsia="仿宋" w:cs="仿宋_GB2312"/>
                <w:bCs/>
                <w:color w:val="auto"/>
                <w:szCs w:val="21"/>
                <w:lang w:val="en-US" w:eastAsia="zh-CN" w:bidi="ar"/>
              </w:rPr>
              <w:t>2.</w:t>
            </w:r>
            <w:r>
              <w:rPr>
                <w:rFonts w:hint="eastAsia" w:ascii="仿宋" w:hAnsi="仿宋" w:eastAsia="仿宋" w:cs="仿宋_GB2312"/>
                <w:bCs/>
                <w:color w:val="auto"/>
                <w:szCs w:val="21"/>
                <w:lang w:eastAsia="zh-CN" w:bidi="ar"/>
              </w:rPr>
              <w:t>报价</w:t>
            </w:r>
            <w:r>
              <w:rPr>
                <w:rFonts w:hint="eastAsia" w:ascii="仿宋" w:hAnsi="仿宋" w:eastAsia="仿宋" w:cs="仿宋_GB2312"/>
                <w:bCs/>
                <w:color w:val="auto"/>
                <w:szCs w:val="21"/>
                <w:lang w:bidi="ar"/>
              </w:rPr>
              <w:t>不低于5%</w:t>
            </w:r>
            <w:r>
              <w:rPr>
                <w:rFonts w:hint="eastAsia" w:ascii="仿宋" w:hAnsi="仿宋" w:eastAsia="仿宋" w:cs="仿宋_GB2312"/>
                <w:bCs/>
                <w:color w:val="auto"/>
                <w:szCs w:val="21"/>
                <w:lang w:eastAsia="zh-CN" w:bidi="ar"/>
              </w:rPr>
              <w:t>，</w:t>
            </w:r>
            <w:r>
              <w:rPr>
                <w:rFonts w:hint="eastAsia" w:ascii="仿宋" w:hAnsi="仿宋" w:eastAsia="仿宋" w:cs="仿宋_GB2312"/>
                <w:bCs/>
                <w:color w:val="auto"/>
                <w:szCs w:val="21"/>
                <w:lang w:val="en-US" w:eastAsia="zh-CN" w:bidi="ar"/>
              </w:rPr>
              <w:t>低于为无效</w:t>
            </w:r>
            <w:r>
              <w:rPr>
                <w:rFonts w:hint="eastAsia" w:ascii="仿宋" w:hAnsi="仿宋" w:eastAsia="仿宋" w:cs="仿宋_GB2312"/>
                <w:bCs/>
                <w:color w:val="auto"/>
                <w:sz w:val="21"/>
                <w:szCs w:val="21"/>
                <w:lang w:val="en-US" w:eastAsia="zh-CN" w:bidi="ar"/>
              </w:rPr>
              <w:t>投标</w:t>
            </w:r>
            <w:r>
              <w:rPr>
                <w:rFonts w:hint="eastAsia" w:ascii="仿宋" w:hAnsi="仿宋" w:eastAsia="仿宋" w:cs="仿宋_GB2312"/>
                <w:bCs/>
                <w:color w:val="auto"/>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pPr>
              <w:autoSpaceDN w:val="0"/>
              <w:spacing w:line="360" w:lineRule="auto"/>
              <w:jc w:val="center"/>
              <w:rPr>
                <w:rFonts w:hint="eastAsia" w:ascii="仿宋" w:hAnsi="仿宋" w:eastAsia="仿宋" w:cs="仿宋_GB2312"/>
                <w:bCs/>
                <w:szCs w:val="21"/>
                <w:lang w:val="en-US" w:eastAsia="zh-CN"/>
              </w:rPr>
            </w:pPr>
          </w:p>
        </w:tc>
        <w:tc>
          <w:tcPr>
            <w:tcW w:w="668" w:type="pct"/>
            <w:vMerge w:val="continue"/>
            <w:noWrap w:val="0"/>
            <w:vAlign w:val="center"/>
          </w:tcPr>
          <w:p>
            <w:pPr>
              <w:autoSpaceDN w:val="0"/>
              <w:spacing w:line="360" w:lineRule="auto"/>
              <w:jc w:val="left"/>
              <w:rPr>
                <w:rFonts w:hint="default" w:ascii="仿宋" w:hAnsi="仿宋" w:eastAsia="仿宋" w:cs="仿宋_GB2312"/>
                <w:bCs/>
                <w:szCs w:val="21"/>
                <w:lang w:val="en-US" w:eastAsia="zh-CN"/>
              </w:rPr>
            </w:pPr>
          </w:p>
        </w:tc>
        <w:tc>
          <w:tcPr>
            <w:tcW w:w="416" w:type="pct"/>
            <w:vMerge w:val="continue"/>
            <w:noWrap w:val="0"/>
            <w:vAlign w:val="center"/>
          </w:tcPr>
          <w:p>
            <w:pPr>
              <w:autoSpaceDN w:val="0"/>
              <w:spacing w:line="360" w:lineRule="auto"/>
              <w:jc w:val="left"/>
              <w:rPr>
                <w:rFonts w:hint="default" w:ascii="仿宋" w:hAnsi="仿宋" w:eastAsia="仿宋" w:cs="仿宋_GB2312"/>
                <w:bCs/>
                <w:szCs w:val="21"/>
                <w:lang w:val="en-US" w:eastAsia="zh-CN"/>
              </w:rPr>
            </w:pPr>
          </w:p>
        </w:tc>
        <w:tc>
          <w:tcPr>
            <w:tcW w:w="397" w:type="pct"/>
            <w:noWrap w:val="0"/>
            <w:vAlign w:val="center"/>
          </w:tcPr>
          <w:p>
            <w:pPr>
              <w:widowControl/>
              <w:numPr>
                <w:ilvl w:val="0"/>
                <w:numId w:val="0"/>
              </w:numPr>
              <w:autoSpaceDN w:val="0"/>
              <w:spacing w:line="360" w:lineRule="auto"/>
              <w:jc w:val="left"/>
              <w:textAlignment w:val="auto"/>
              <w:rPr>
                <w:rFonts w:hint="eastAsia" w:ascii="仿宋" w:hAnsi="仿宋" w:eastAsia="仿宋" w:cs="仿宋_GB2312"/>
                <w:bCs/>
                <w:color w:val="auto"/>
                <w:kern w:val="2"/>
                <w:sz w:val="21"/>
                <w:szCs w:val="21"/>
                <w:lang w:val="en-US" w:eastAsia="zh-CN" w:bidi="ar"/>
              </w:rPr>
            </w:pPr>
            <w:r>
              <w:rPr>
                <w:rFonts w:hint="eastAsia" w:ascii="仿宋" w:hAnsi="仿宋" w:eastAsia="仿宋" w:cs="仿宋_GB2312"/>
                <w:bCs/>
                <w:i w:val="0"/>
                <w:color w:val="auto"/>
                <w:kern w:val="2"/>
                <w:sz w:val="21"/>
                <w:szCs w:val="21"/>
                <w:u w:val="none"/>
                <w:lang w:val="en-US" w:eastAsia="zh-CN" w:bidi="ar"/>
              </w:rPr>
              <w:t>咖啡吧</w:t>
            </w:r>
            <w:r>
              <w:rPr>
                <w:rFonts w:hint="eastAsia" w:ascii="仿宋" w:hAnsi="仿宋" w:eastAsia="仿宋" w:cs="仿宋_GB2312"/>
                <w:bCs/>
                <w:i w:val="0"/>
                <w:kern w:val="2"/>
                <w:sz w:val="21"/>
                <w:szCs w:val="21"/>
                <w:u w:val="none"/>
                <w:lang w:val="en-US" w:eastAsia="zh-CN" w:bidi="ar"/>
              </w:rPr>
              <w:t>饮品糕点收费方案</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2021" w:type="pct"/>
            <w:noWrap w:val="0"/>
            <w:vAlign w:val="center"/>
          </w:tcPr>
          <w:p>
            <w:pPr>
              <w:widowControl/>
              <w:numPr>
                <w:ilvl w:val="0"/>
                <w:numId w:val="0"/>
              </w:numPr>
              <w:autoSpaceDN w:val="0"/>
              <w:spacing w:line="360" w:lineRule="auto"/>
              <w:jc w:val="left"/>
              <w:textAlignment w:val="auto"/>
              <w:rPr>
                <w:rFonts w:hint="eastAsia" w:ascii="仿宋" w:hAnsi="仿宋" w:eastAsia="仿宋" w:cs="仿宋_GB2312"/>
                <w:bCs/>
                <w:i w:val="0"/>
                <w:color w:val="auto"/>
                <w:kern w:val="2"/>
                <w:sz w:val="21"/>
                <w:szCs w:val="21"/>
                <w:u w:val="none"/>
                <w:lang w:val="en-US" w:eastAsia="zh-CN" w:bidi="ar"/>
              </w:rPr>
            </w:pPr>
            <w:r>
              <w:rPr>
                <w:rFonts w:hint="eastAsia" w:ascii="仿宋" w:hAnsi="仿宋" w:eastAsia="仿宋" w:cs="仿宋_GB2312"/>
                <w:bCs/>
                <w:i w:val="0"/>
                <w:color w:val="auto"/>
                <w:kern w:val="2"/>
                <w:sz w:val="21"/>
                <w:szCs w:val="21"/>
                <w:u w:val="none"/>
                <w:lang w:val="en-US" w:eastAsia="zh-CN" w:bidi="ar"/>
              </w:rPr>
              <w:t>对美式、拿铁、果茶收费方案进行打分，以性价比，对客户效益进行综合评比：</w:t>
            </w:r>
            <w:r>
              <w:rPr>
                <w:rFonts w:hint="eastAsia" w:ascii="仿宋" w:hAnsi="仿宋" w:eastAsia="仿宋" w:cs="仿宋_GB2312"/>
                <w:bCs/>
                <w:color w:val="auto"/>
                <w:kern w:val="2"/>
                <w:sz w:val="21"/>
                <w:szCs w:val="21"/>
                <w:lang w:bidi="ar"/>
              </w:rPr>
              <w:t>（1）方案的性价比及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获得的效益最优得</w:t>
            </w:r>
            <w:r>
              <w:rPr>
                <w:rFonts w:hint="eastAsia" w:ascii="仿宋" w:hAnsi="仿宋" w:eastAsia="仿宋" w:cs="仿宋_GB2312"/>
                <w:bCs/>
                <w:kern w:val="2"/>
                <w:sz w:val="21"/>
                <w:szCs w:val="21"/>
                <w:lang w:val="en-US" w:eastAsia="zh-CN" w:bidi="ar"/>
              </w:rPr>
              <w:t>5</w:t>
            </w:r>
            <w:r>
              <w:rPr>
                <w:rFonts w:hint="eastAsia" w:ascii="仿宋" w:hAnsi="仿宋" w:eastAsia="仿宋" w:cs="仿宋_GB2312"/>
                <w:bCs/>
                <w:color w:val="auto"/>
                <w:kern w:val="2"/>
                <w:sz w:val="21"/>
                <w:szCs w:val="21"/>
                <w:lang w:val="en-US" w:eastAsia="zh-CN" w:bidi="ar"/>
              </w:rPr>
              <w:t>-</w:t>
            </w:r>
            <w:r>
              <w:rPr>
                <w:rFonts w:hint="eastAsia" w:ascii="仿宋" w:hAnsi="仿宋" w:eastAsia="仿宋" w:cs="仿宋_GB2312"/>
                <w:bCs/>
                <w:kern w:val="2"/>
                <w:sz w:val="21"/>
                <w:szCs w:val="21"/>
                <w:lang w:val="en-US" w:eastAsia="zh-CN" w:bidi="ar"/>
              </w:rPr>
              <w:t>6</w:t>
            </w:r>
            <w:r>
              <w:rPr>
                <w:rFonts w:hint="eastAsia" w:ascii="仿宋" w:hAnsi="仿宋" w:eastAsia="仿宋" w:cs="仿宋_GB2312"/>
                <w:bCs/>
                <w:color w:val="auto"/>
                <w:kern w:val="2"/>
                <w:sz w:val="21"/>
                <w:szCs w:val="21"/>
                <w:lang w:bidi="ar"/>
              </w:rPr>
              <w:t>分；（2）方案的性价比及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获得的效益较优得</w:t>
            </w:r>
            <w:r>
              <w:rPr>
                <w:rFonts w:hint="eastAsia" w:ascii="仿宋" w:hAnsi="仿宋" w:eastAsia="仿宋" w:cs="仿宋_GB2312"/>
                <w:bCs/>
                <w:kern w:val="2"/>
                <w:sz w:val="21"/>
                <w:szCs w:val="21"/>
                <w:lang w:val="en-US" w:eastAsia="zh-CN" w:bidi="ar"/>
              </w:rPr>
              <w:t>3</w:t>
            </w:r>
            <w:r>
              <w:rPr>
                <w:rFonts w:hint="eastAsia" w:ascii="仿宋" w:hAnsi="仿宋" w:eastAsia="仿宋" w:cs="仿宋_GB2312"/>
                <w:bCs/>
                <w:color w:val="auto"/>
                <w:kern w:val="2"/>
                <w:sz w:val="21"/>
                <w:szCs w:val="21"/>
                <w:lang w:val="en-US" w:eastAsia="zh-CN" w:bidi="ar"/>
              </w:rPr>
              <w:t>-</w:t>
            </w:r>
            <w:r>
              <w:rPr>
                <w:rFonts w:hint="eastAsia" w:ascii="仿宋" w:hAnsi="仿宋" w:eastAsia="仿宋" w:cs="仿宋_GB2312"/>
                <w:bCs/>
                <w:kern w:val="2"/>
                <w:sz w:val="21"/>
                <w:szCs w:val="21"/>
                <w:lang w:val="en-US" w:eastAsia="zh-CN" w:bidi="ar"/>
              </w:rPr>
              <w:t>4</w:t>
            </w:r>
            <w:r>
              <w:rPr>
                <w:rFonts w:hint="eastAsia" w:ascii="仿宋" w:hAnsi="仿宋" w:eastAsia="仿宋" w:cs="仿宋_GB2312"/>
                <w:bCs/>
                <w:color w:val="auto"/>
                <w:kern w:val="2"/>
                <w:sz w:val="21"/>
                <w:szCs w:val="21"/>
                <w:lang w:bidi="ar"/>
              </w:rPr>
              <w:t>分；（3）方案的性价比及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获得的效益一般得</w:t>
            </w:r>
            <w:r>
              <w:rPr>
                <w:rFonts w:hint="eastAsia" w:ascii="仿宋" w:hAnsi="仿宋" w:eastAsia="仿宋" w:cs="仿宋_GB2312"/>
                <w:bCs/>
                <w:kern w:val="2"/>
                <w:sz w:val="21"/>
                <w:szCs w:val="21"/>
                <w:lang w:val="en-US" w:eastAsia="zh-CN" w:bidi="ar"/>
              </w:rPr>
              <w:t>1</w:t>
            </w:r>
            <w:r>
              <w:rPr>
                <w:rFonts w:hint="eastAsia" w:ascii="仿宋" w:hAnsi="仿宋" w:eastAsia="仿宋" w:cs="仿宋_GB2312"/>
                <w:bCs/>
                <w:color w:val="auto"/>
                <w:kern w:val="2"/>
                <w:sz w:val="21"/>
                <w:szCs w:val="21"/>
                <w:lang w:val="en-US" w:eastAsia="zh-CN" w:bidi="ar"/>
              </w:rPr>
              <w:t>-2</w:t>
            </w:r>
            <w:r>
              <w:rPr>
                <w:rFonts w:hint="eastAsia" w:ascii="仿宋" w:hAnsi="仿宋" w:eastAsia="仿宋" w:cs="仿宋_GB2312"/>
                <w:bCs/>
                <w:color w:val="auto"/>
                <w:kern w:val="2"/>
                <w:sz w:val="21"/>
                <w:szCs w:val="21"/>
                <w:lang w:bidi="ar"/>
              </w:rPr>
              <w:t>分</w:t>
            </w:r>
            <w:r>
              <w:rPr>
                <w:rFonts w:hint="eastAsia" w:ascii="仿宋" w:hAnsi="仿宋" w:eastAsia="仿宋" w:cs="仿宋_GB2312"/>
                <w:bCs/>
                <w:color w:val="auto"/>
                <w:kern w:val="2"/>
                <w:sz w:val="21"/>
                <w:szCs w:val="21"/>
                <w:lang w:eastAsia="zh-CN" w:bidi="ar"/>
              </w:rPr>
              <w:t>；</w:t>
            </w:r>
            <w:r>
              <w:rPr>
                <w:rFonts w:hint="eastAsia" w:ascii="仿宋" w:hAnsi="仿宋" w:eastAsia="仿宋" w:cs="仿宋_GB2312"/>
                <w:bCs/>
                <w:color w:val="auto"/>
                <w:kern w:val="2"/>
                <w:sz w:val="21"/>
                <w:szCs w:val="21"/>
                <w:lang w:bidi="ar"/>
              </w:rPr>
              <w:t>（4）方案的性价比及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获得的效益差或未提供的不得分。</w:t>
            </w:r>
          </w:p>
        </w:tc>
        <w:tc>
          <w:tcPr>
            <w:tcW w:w="1151" w:type="pct"/>
            <w:noWrap w:val="0"/>
            <w:vAlign w:val="center"/>
          </w:tcPr>
          <w:p>
            <w:pPr>
              <w:autoSpaceDN w:val="0"/>
              <w:spacing w:line="360" w:lineRule="auto"/>
              <w:jc w:val="left"/>
              <w:rPr>
                <w:rFonts w:hint="eastAsia"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pPr>
              <w:autoSpaceDN w:val="0"/>
              <w:spacing w:line="360" w:lineRule="auto"/>
              <w:jc w:val="center"/>
              <w:rPr>
                <w:rFonts w:hint="eastAsia" w:ascii="仿宋" w:hAnsi="仿宋" w:eastAsia="仿宋" w:cs="仿宋_GB2312"/>
                <w:bCs/>
                <w:szCs w:val="21"/>
                <w:lang w:eastAsia="zh-CN"/>
              </w:rPr>
            </w:pPr>
          </w:p>
        </w:tc>
        <w:tc>
          <w:tcPr>
            <w:tcW w:w="668" w:type="pct"/>
            <w:vMerge w:val="continue"/>
            <w:noWrap w:val="0"/>
            <w:vAlign w:val="center"/>
          </w:tcPr>
          <w:p>
            <w:pPr>
              <w:autoSpaceDN w:val="0"/>
              <w:spacing w:line="360" w:lineRule="auto"/>
              <w:jc w:val="left"/>
              <w:rPr>
                <w:rFonts w:ascii="仿宋" w:hAnsi="仿宋" w:eastAsia="仿宋" w:cs="仿宋_GB2312"/>
                <w:bCs/>
                <w:szCs w:val="21"/>
              </w:rPr>
            </w:pPr>
          </w:p>
        </w:tc>
        <w:tc>
          <w:tcPr>
            <w:tcW w:w="416" w:type="pct"/>
            <w:vMerge w:val="continue"/>
            <w:noWrap w:val="0"/>
            <w:vAlign w:val="center"/>
          </w:tcPr>
          <w:p>
            <w:pPr>
              <w:autoSpaceDN w:val="0"/>
              <w:spacing w:line="360" w:lineRule="auto"/>
              <w:jc w:val="left"/>
              <w:rPr>
                <w:rFonts w:ascii="仿宋" w:hAnsi="仿宋" w:eastAsia="仿宋" w:cs="仿宋_GB2312"/>
                <w:bCs/>
                <w:szCs w:val="21"/>
              </w:rPr>
            </w:pPr>
          </w:p>
        </w:tc>
        <w:tc>
          <w:tcPr>
            <w:tcW w:w="397"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管理方案</w:t>
            </w:r>
            <w:r>
              <w:rPr>
                <w:rFonts w:hint="eastAsia" w:ascii="仿宋" w:hAnsi="仿宋" w:eastAsia="仿宋" w:cs="仿宋_GB2312"/>
                <w:bCs/>
                <w:szCs w:val="21"/>
                <w:lang w:val="en-US" w:eastAsia="zh-CN"/>
              </w:rPr>
              <w:t>9</w:t>
            </w:r>
            <w:r>
              <w:rPr>
                <w:rFonts w:hint="eastAsia" w:ascii="仿宋" w:hAnsi="仿宋" w:eastAsia="仿宋" w:cs="仿宋_GB2312"/>
                <w:bCs/>
                <w:szCs w:val="21"/>
              </w:rPr>
              <w:t>分</w:t>
            </w:r>
          </w:p>
        </w:tc>
        <w:tc>
          <w:tcPr>
            <w:tcW w:w="2021"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提供的管理方案，①人员管理方案（包含：工作人员管理制度、人员岗位设置及职责划分方案）；②</w:t>
            </w:r>
            <w:r>
              <w:rPr>
                <w:rFonts w:hint="eastAsia" w:ascii="仿宋" w:hAnsi="仿宋" w:eastAsia="仿宋" w:cs="仿宋_GB2312"/>
                <w:bCs/>
                <w:szCs w:val="21"/>
                <w:lang w:eastAsia="zh-CN"/>
              </w:rPr>
              <w:t>咖啡吧</w:t>
            </w:r>
            <w:r>
              <w:rPr>
                <w:rFonts w:hint="eastAsia" w:ascii="仿宋" w:hAnsi="仿宋" w:eastAsia="仿宋" w:cs="仿宋_GB2312"/>
                <w:bCs/>
                <w:szCs w:val="21"/>
              </w:rPr>
              <w:t>内部管理制度（包含：食品质量自检制度、安全操作规程控制管理措施等）；③卫生管理制度（包含：日常环境卫生，垃圾处理措施等）进行评审，完全满足项目实际情况的，得</w:t>
            </w:r>
            <w:r>
              <w:rPr>
                <w:rFonts w:hint="eastAsia" w:ascii="仿宋" w:hAnsi="仿宋" w:eastAsia="仿宋" w:cs="仿宋_GB2312"/>
                <w:bCs/>
                <w:szCs w:val="21"/>
                <w:lang w:val="en-US" w:eastAsia="zh-CN"/>
              </w:rPr>
              <w:t>9</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3</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1.5</w:t>
            </w:r>
            <w:r>
              <w:rPr>
                <w:rFonts w:hint="eastAsia" w:ascii="仿宋" w:hAnsi="仿宋" w:eastAsia="仿宋" w:cs="仿宋_GB2312"/>
                <w:bCs/>
                <w:szCs w:val="21"/>
              </w:rPr>
              <w:t>分，每项方案关于内容缺陷最多扣3分，扣完为止。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restart"/>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pPr>
              <w:autoSpaceDN w:val="0"/>
              <w:spacing w:line="360" w:lineRule="auto"/>
              <w:jc w:val="center"/>
              <w:rPr>
                <w:rFonts w:ascii="仿宋" w:hAnsi="仿宋" w:eastAsia="仿宋" w:cs="仿宋_GB2312"/>
                <w:bCs/>
                <w:szCs w:val="21"/>
              </w:rPr>
            </w:pPr>
          </w:p>
        </w:tc>
        <w:tc>
          <w:tcPr>
            <w:tcW w:w="668" w:type="pct"/>
            <w:vMerge w:val="continue"/>
            <w:noWrap w:val="0"/>
            <w:vAlign w:val="center"/>
          </w:tcPr>
          <w:p>
            <w:pPr>
              <w:autoSpaceDN w:val="0"/>
              <w:spacing w:line="360" w:lineRule="auto"/>
              <w:jc w:val="left"/>
              <w:rPr>
                <w:rFonts w:ascii="仿宋" w:hAnsi="仿宋" w:eastAsia="仿宋" w:cs="仿宋_GB2312"/>
                <w:bCs/>
                <w:szCs w:val="21"/>
              </w:rPr>
            </w:pPr>
          </w:p>
        </w:tc>
        <w:tc>
          <w:tcPr>
            <w:tcW w:w="416" w:type="pct"/>
            <w:vMerge w:val="continue"/>
            <w:noWrap w:val="0"/>
            <w:vAlign w:val="center"/>
          </w:tcPr>
          <w:p>
            <w:pPr>
              <w:autoSpaceDN w:val="0"/>
              <w:spacing w:line="360" w:lineRule="auto"/>
              <w:jc w:val="left"/>
              <w:rPr>
                <w:rFonts w:ascii="仿宋" w:hAnsi="仿宋" w:eastAsia="仿宋" w:cs="仿宋_GB2312"/>
                <w:bCs/>
                <w:szCs w:val="21"/>
              </w:rPr>
            </w:pPr>
          </w:p>
        </w:tc>
        <w:tc>
          <w:tcPr>
            <w:tcW w:w="397"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实施方案</w:t>
            </w:r>
            <w:r>
              <w:rPr>
                <w:rFonts w:hint="eastAsia" w:ascii="仿宋" w:hAnsi="仿宋" w:eastAsia="仿宋" w:cs="仿宋_GB2312"/>
                <w:bCs/>
                <w:szCs w:val="21"/>
                <w:lang w:val="en-US" w:eastAsia="zh-CN"/>
              </w:rPr>
              <w:t>9</w:t>
            </w:r>
            <w:r>
              <w:rPr>
                <w:rFonts w:hint="eastAsia" w:ascii="仿宋" w:hAnsi="仿宋" w:eastAsia="仿宋" w:cs="仿宋_GB2312"/>
                <w:bCs/>
                <w:szCs w:val="21"/>
              </w:rPr>
              <w:t>分</w:t>
            </w:r>
          </w:p>
        </w:tc>
        <w:tc>
          <w:tcPr>
            <w:tcW w:w="2021" w:type="pct"/>
            <w:noWrap w:val="0"/>
            <w:vAlign w:val="center"/>
          </w:tcPr>
          <w:p>
            <w:pPr>
              <w:numPr>
                <w:ilvl w:val="0"/>
                <w:numId w:val="0"/>
              </w:num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提供的实施方案，①食品库存管理制度；②项目配备人员安全卫生管控措施；③项目分析、服务理念及经营目标。完全满足项目实际情况的，得</w:t>
            </w:r>
            <w:r>
              <w:rPr>
                <w:rFonts w:hint="eastAsia" w:ascii="仿宋" w:hAnsi="仿宋" w:eastAsia="仿宋" w:cs="仿宋_GB2312"/>
                <w:bCs/>
                <w:szCs w:val="21"/>
                <w:lang w:val="en-US" w:eastAsia="zh-CN"/>
              </w:rPr>
              <w:t>9</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3</w:t>
            </w:r>
            <w:r>
              <w:rPr>
                <w:rFonts w:hint="eastAsia" w:ascii="仿宋" w:hAnsi="仿宋" w:eastAsia="仿宋" w:cs="仿宋_GB2312"/>
                <w:bCs/>
                <w:szCs w:val="21"/>
              </w:rPr>
              <w:t>分，每有一项方案内容有缺陷的扣1</w:t>
            </w:r>
            <w:r>
              <w:rPr>
                <w:rFonts w:hint="eastAsia" w:ascii="仿宋" w:hAnsi="仿宋" w:eastAsia="仿宋" w:cs="仿宋_GB2312"/>
                <w:bCs/>
                <w:szCs w:val="21"/>
                <w:lang w:val="en-US" w:eastAsia="zh-CN"/>
              </w:rPr>
              <w:t>.5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3</w:t>
            </w:r>
            <w:r>
              <w:rPr>
                <w:rFonts w:hint="eastAsia" w:ascii="仿宋" w:hAnsi="仿宋" w:eastAsia="仿宋" w:cs="仿宋_GB2312"/>
                <w:bCs/>
                <w:szCs w:val="21"/>
              </w:rPr>
              <w:t>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continue"/>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pPr>
              <w:autoSpaceDN w:val="0"/>
              <w:spacing w:line="360" w:lineRule="auto"/>
              <w:jc w:val="center"/>
              <w:rPr>
                <w:rFonts w:ascii="仿宋" w:hAnsi="仿宋" w:eastAsia="仿宋" w:cs="仿宋_GB2312"/>
                <w:bCs/>
                <w:szCs w:val="21"/>
              </w:rPr>
            </w:pPr>
          </w:p>
        </w:tc>
        <w:tc>
          <w:tcPr>
            <w:tcW w:w="668" w:type="pct"/>
            <w:vMerge w:val="continue"/>
            <w:noWrap w:val="0"/>
            <w:vAlign w:val="center"/>
          </w:tcPr>
          <w:p>
            <w:pPr>
              <w:autoSpaceDN w:val="0"/>
              <w:spacing w:line="360" w:lineRule="auto"/>
              <w:jc w:val="left"/>
              <w:rPr>
                <w:rFonts w:ascii="仿宋" w:hAnsi="仿宋" w:eastAsia="仿宋" w:cs="仿宋_GB2312"/>
                <w:bCs/>
                <w:szCs w:val="21"/>
              </w:rPr>
            </w:pPr>
          </w:p>
        </w:tc>
        <w:tc>
          <w:tcPr>
            <w:tcW w:w="416" w:type="pct"/>
            <w:vMerge w:val="continue"/>
            <w:noWrap w:val="0"/>
            <w:vAlign w:val="center"/>
          </w:tcPr>
          <w:p>
            <w:pPr>
              <w:autoSpaceDN w:val="0"/>
              <w:spacing w:line="360" w:lineRule="auto"/>
              <w:jc w:val="left"/>
              <w:rPr>
                <w:rFonts w:ascii="仿宋" w:hAnsi="仿宋" w:eastAsia="仿宋" w:cs="仿宋_GB2312"/>
                <w:bCs/>
                <w:szCs w:val="21"/>
              </w:rPr>
            </w:pPr>
          </w:p>
        </w:tc>
        <w:tc>
          <w:tcPr>
            <w:tcW w:w="397"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应急处置（保障）方案</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8</w:t>
            </w:r>
            <w:r>
              <w:rPr>
                <w:rFonts w:hint="eastAsia" w:ascii="仿宋" w:hAnsi="仿宋" w:eastAsia="仿宋" w:cs="仿宋_GB2312"/>
                <w:bCs/>
                <w:szCs w:val="21"/>
              </w:rPr>
              <w:t>分</w:t>
            </w:r>
          </w:p>
        </w:tc>
        <w:tc>
          <w:tcPr>
            <w:tcW w:w="2021"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eastAsia="zh-CN"/>
              </w:rPr>
              <w:t>参选机构</w:t>
            </w:r>
            <w:r>
              <w:rPr>
                <w:rFonts w:hint="eastAsia" w:ascii="仿宋" w:hAnsi="仿宋" w:eastAsia="仿宋" w:cs="仿宋_GB2312"/>
                <w:bCs/>
                <w:szCs w:val="21"/>
              </w:rPr>
              <w:t>根据本项目特点，提供应急处置（保障）方案（包含：①停水停电停气应急方案；②食品安全事故处理方案、③水管爆裂、火灾等各类突发事件处理方案；④治安及意外事故处理方案），完全满足项目实际情况的，得</w:t>
            </w:r>
            <w:r>
              <w:rPr>
                <w:rFonts w:hint="eastAsia" w:ascii="仿宋" w:hAnsi="仿宋" w:eastAsia="仿宋" w:cs="仿宋_GB2312"/>
                <w:bCs/>
                <w:szCs w:val="21"/>
                <w:lang w:val="en-US" w:eastAsia="zh-CN"/>
              </w:rPr>
              <w:t>8</w:t>
            </w:r>
            <w:r>
              <w:rPr>
                <w:rFonts w:hint="eastAsia" w:ascii="仿宋" w:hAnsi="仿宋" w:eastAsia="仿宋" w:cs="仿宋_GB2312"/>
                <w:bCs/>
                <w:szCs w:val="21"/>
              </w:rPr>
              <w:t>分，方案每缺失一项扣2分，每有一项方案内容有缺陷的扣1分，每项方案关于内容缺陷最多扣</w:t>
            </w:r>
            <w:r>
              <w:rPr>
                <w:rFonts w:ascii="仿宋" w:hAnsi="仿宋" w:eastAsia="仿宋" w:cs="仿宋_GB2312"/>
                <w:bCs/>
                <w:szCs w:val="21"/>
              </w:rPr>
              <w:t>2</w:t>
            </w:r>
            <w:r>
              <w:rPr>
                <w:rFonts w:hint="eastAsia" w:ascii="仿宋" w:hAnsi="仿宋" w:eastAsia="仿宋" w:cs="仿宋_GB2312"/>
                <w:bCs/>
                <w:szCs w:val="21"/>
              </w:rPr>
              <w:t>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continue"/>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pPr>
              <w:autoSpaceDN w:val="0"/>
              <w:spacing w:line="360" w:lineRule="auto"/>
              <w:jc w:val="center"/>
              <w:rPr>
                <w:rFonts w:ascii="仿宋" w:hAnsi="仿宋" w:eastAsia="仿宋" w:cs="仿宋_GB2312"/>
                <w:bCs/>
                <w:szCs w:val="21"/>
              </w:rPr>
            </w:pPr>
          </w:p>
        </w:tc>
        <w:tc>
          <w:tcPr>
            <w:tcW w:w="668" w:type="pct"/>
            <w:vMerge w:val="continue"/>
            <w:noWrap w:val="0"/>
            <w:vAlign w:val="center"/>
          </w:tcPr>
          <w:p>
            <w:pPr>
              <w:autoSpaceDN w:val="0"/>
              <w:spacing w:line="360" w:lineRule="auto"/>
              <w:jc w:val="left"/>
              <w:rPr>
                <w:rFonts w:ascii="仿宋" w:hAnsi="仿宋" w:eastAsia="仿宋" w:cs="仿宋_GB2312"/>
                <w:bCs/>
                <w:szCs w:val="21"/>
              </w:rPr>
            </w:pPr>
          </w:p>
        </w:tc>
        <w:tc>
          <w:tcPr>
            <w:tcW w:w="416" w:type="pct"/>
            <w:vMerge w:val="continue"/>
            <w:noWrap w:val="0"/>
            <w:vAlign w:val="center"/>
          </w:tcPr>
          <w:p>
            <w:pPr>
              <w:autoSpaceDN w:val="0"/>
              <w:spacing w:line="360" w:lineRule="auto"/>
              <w:jc w:val="left"/>
              <w:rPr>
                <w:rFonts w:ascii="仿宋" w:hAnsi="仿宋" w:eastAsia="仿宋" w:cs="仿宋_GB2312"/>
                <w:bCs/>
                <w:szCs w:val="21"/>
              </w:rPr>
            </w:pPr>
          </w:p>
        </w:tc>
        <w:tc>
          <w:tcPr>
            <w:tcW w:w="397"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运营服务方案10分</w:t>
            </w:r>
          </w:p>
        </w:tc>
        <w:tc>
          <w:tcPr>
            <w:tcW w:w="2021"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的运营服务方案，包括：①劳动争议处理流程及相关措施；②制止餐饮浪费的制度、措施；③</w:t>
            </w:r>
            <w:r>
              <w:rPr>
                <w:rFonts w:hint="eastAsia" w:ascii="仿宋" w:hAnsi="仿宋" w:eastAsia="仿宋" w:cs="仿宋_GB2312"/>
                <w:bCs/>
                <w:szCs w:val="21"/>
                <w:lang w:eastAsia="zh-CN"/>
              </w:rPr>
              <w:t>医院员工折扣方案</w:t>
            </w:r>
            <w:r>
              <w:rPr>
                <w:rFonts w:hint="eastAsia" w:ascii="仿宋" w:hAnsi="仿宋" w:eastAsia="仿宋" w:cs="仿宋_GB2312"/>
                <w:bCs/>
                <w:szCs w:val="21"/>
              </w:rPr>
              <w:t>；④成本控制措施及能源控制方案；⑤投诉处理措施。完全满足项目实际情况的得10分，方案每缺失一项扣2分，每有一项方案内容有缺陷的扣1分，每项方案关于内容缺陷最多扣</w:t>
            </w:r>
            <w:r>
              <w:rPr>
                <w:rFonts w:ascii="仿宋" w:hAnsi="仿宋" w:eastAsia="仿宋" w:cs="仿宋_GB2312"/>
                <w:bCs/>
                <w:szCs w:val="21"/>
              </w:rPr>
              <w:t>2</w:t>
            </w:r>
            <w:r>
              <w:rPr>
                <w:rFonts w:hint="eastAsia" w:ascii="仿宋" w:hAnsi="仿宋" w:eastAsia="仿宋" w:cs="仿宋_GB2312"/>
                <w:bCs/>
                <w:szCs w:val="21"/>
              </w:rPr>
              <w:t>分，扣完为止。</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continue"/>
            <w:noWrap w:val="0"/>
            <w:vAlign w:val="center"/>
          </w:tcPr>
          <w:p>
            <w:pPr>
              <w:autoSpaceDN w:val="0"/>
              <w:spacing w:line="360" w:lineRule="auto"/>
              <w:jc w:val="left"/>
              <w:rPr>
                <w:rFonts w:ascii="仿宋" w:hAnsi="仿宋"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pPr>
              <w:autoSpaceDN w:val="0"/>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3</w:t>
            </w:r>
          </w:p>
        </w:tc>
        <w:tc>
          <w:tcPr>
            <w:tcW w:w="668"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拟投入本项目的人员</w:t>
            </w:r>
          </w:p>
          <w:p>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6</w:t>
            </w:r>
            <w:r>
              <w:rPr>
                <w:rFonts w:hint="eastAsia" w:ascii="仿宋" w:hAnsi="仿宋" w:eastAsia="仿宋" w:cs="仿宋_GB2312"/>
                <w:bCs/>
                <w:szCs w:val="21"/>
              </w:rPr>
              <w:t>%</w:t>
            </w:r>
          </w:p>
        </w:tc>
        <w:tc>
          <w:tcPr>
            <w:tcW w:w="416" w:type="pct"/>
            <w:noWrap w:val="0"/>
            <w:vAlign w:val="center"/>
          </w:tcPr>
          <w:p>
            <w:pPr>
              <w:autoSpaceDN w:val="0"/>
              <w:spacing w:line="360" w:lineRule="auto"/>
              <w:jc w:val="left"/>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6分</w:t>
            </w:r>
          </w:p>
        </w:tc>
        <w:tc>
          <w:tcPr>
            <w:tcW w:w="2418" w:type="pct"/>
            <w:gridSpan w:val="2"/>
            <w:noWrap w:val="0"/>
            <w:vAlign w:val="center"/>
          </w:tcPr>
          <w:p>
            <w:pPr>
              <w:numPr>
                <w:ilvl w:val="0"/>
                <w:numId w:val="0"/>
              </w:num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总配置人数不少于2人，</w:t>
            </w:r>
            <w:r>
              <w:rPr>
                <w:rFonts w:hint="eastAsia" w:ascii="仿宋" w:hAnsi="仿宋" w:eastAsia="仿宋" w:cs="仿宋_GB2312"/>
                <w:bCs/>
                <w:szCs w:val="21"/>
              </w:rPr>
              <w:t>提供1名</w:t>
            </w:r>
            <w:r>
              <w:rPr>
                <w:rFonts w:hint="eastAsia" w:ascii="仿宋" w:hAnsi="仿宋" w:eastAsia="仿宋" w:cs="仿宋_GB2312"/>
                <w:bCs/>
                <w:szCs w:val="21"/>
                <w:lang w:eastAsia="zh-CN"/>
              </w:rPr>
              <w:t>咖啡师得</w:t>
            </w:r>
            <w:r>
              <w:rPr>
                <w:rFonts w:hint="eastAsia" w:ascii="仿宋" w:hAnsi="仿宋" w:eastAsia="仿宋" w:cs="仿宋_GB2312"/>
                <w:bCs/>
                <w:szCs w:val="21"/>
                <w:lang w:val="en-US" w:eastAsia="zh-CN"/>
              </w:rPr>
              <w:t>3分</w:t>
            </w:r>
            <w:r>
              <w:rPr>
                <w:rFonts w:hint="eastAsia" w:ascii="仿宋" w:hAnsi="仿宋" w:eastAsia="仿宋" w:cs="仿宋_GB2312"/>
                <w:bCs/>
                <w:szCs w:val="21"/>
              </w:rPr>
              <w:t>；本项最高得</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1151" w:type="pct"/>
            <w:noWrap w:val="0"/>
            <w:vAlign w:val="center"/>
          </w:tcPr>
          <w:p>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rPr>
              <w:t>以上均需提供人员相关证书复印件并加盖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w:t>
            </w:r>
            <w:r>
              <w:rPr>
                <w:rFonts w:hint="eastAsia" w:ascii="仿宋" w:hAnsi="仿宋" w:eastAsia="仿宋" w:cs="仿宋_GB2312"/>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4</w:t>
            </w:r>
          </w:p>
        </w:tc>
        <w:tc>
          <w:tcPr>
            <w:tcW w:w="668"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类似业绩</w:t>
            </w:r>
          </w:p>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12</w:t>
            </w:r>
            <w:r>
              <w:rPr>
                <w:rFonts w:hint="eastAsia" w:ascii="仿宋" w:hAnsi="仿宋" w:eastAsia="仿宋" w:cs="仿宋_GB2312"/>
                <w:bCs/>
                <w:szCs w:val="21"/>
              </w:rPr>
              <w:t>%</w:t>
            </w:r>
          </w:p>
        </w:tc>
        <w:tc>
          <w:tcPr>
            <w:tcW w:w="416" w:type="pct"/>
            <w:noWrap w:val="0"/>
            <w:vAlign w:val="center"/>
          </w:tcPr>
          <w:p>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12</w:t>
            </w:r>
            <w:r>
              <w:rPr>
                <w:rFonts w:hint="eastAsia" w:ascii="仿宋" w:hAnsi="仿宋" w:eastAsia="仿宋" w:cs="仿宋_GB2312"/>
                <w:bCs/>
                <w:szCs w:val="21"/>
              </w:rPr>
              <w:t>分</w:t>
            </w:r>
          </w:p>
        </w:tc>
        <w:tc>
          <w:tcPr>
            <w:tcW w:w="2418" w:type="pct"/>
            <w:gridSpan w:val="2"/>
            <w:noWrap w:val="0"/>
            <w:vAlign w:val="center"/>
          </w:tcPr>
          <w:p>
            <w:pPr>
              <w:numPr>
                <w:ilvl w:val="0"/>
                <w:numId w:val="0"/>
              </w:num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eastAsia="zh-CN"/>
              </w:rPr>
              <w:t>根据参选机构提供的（20</w:t>
            </w:r>
            <w:r>
              <w:rPr>
                <w:rFonts w:hint="eastAsia" w:ascii="仿宋" w:hAnsi="仿宋" w:eastAsia="仿宋" w:cs="仿宋_GB2312"/>
                <w:bCs/>
                <w:szCs w:val="21"/>
                <w:lang w:val="en-US" w:eastAsia="zh-CN"/>
              </w:rPr>
              <w:t>21</w:t>
            </w:r>
            <w:r>
              <w:rPr>
                <w:rFonts w:hint="eastAsia" w:ascii="仿宋" w:hAnsi="仿宋" w:eastAsia="仿宋" w:cs="仿宋_GB2312"/>
                <w:bCs/>
                <w:szCs w:val="21"/>
                <w:lang w:eastAsia="zh-CN"/>
              </w:rPr>
              <w:t>年1月1日-至递交响应文件截止日）业绩进行评定，</w:t>
            </w:r>
            <w:r>
              <w:rPr>
                <w:rFonts w:hint="eastAsia" w:ascii="仿宋" w:hAnsi="仿宋" w:eastAsia="仿宋" w:cs="仿宋_GB2312"/>
                <w:bCs/>
                <w:szCs w:val="21"/>
                <w:lang w:val="en-US" w:eastAsia="zh-CN"/>
              </w:rPr>
              <w:t>有医院咖啡厅服务经验，有1家得2分，最高得12分</w:t>
            </w:r>
            <w:r>
              <w:rPr>
                <w:rFonts w:hint="eastAsia" w:ascii="仿宋" w:hAnsi="仿宋" w:eastAsia="仿宋" w:cs="仿宋_GB2312"/>
                <w:bCs/>
                <w:szCs w:val="21"/>
                <w:lang w:eastAsia="zh-CN"/>
              </w:rPr>
              <w:t>。</w:t>
            </w:r>
          </w:p>
        </w:tc>
        <w:tc>
          <w:tcPr>
            <w:tcW w:w="1151" w:type="pct"/>
            <w:noWrap w:val="0"/>
            <w:vAlign w:val="center"/>
          </w:tcPr>
          <w:p>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rPr>
              <w:t>响应文件中需提供合同扫描件并加盖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公章，不提供的不得分</w:t>
            </w:r>
            <w:r>
              <w:rPr>
                <w:rFonts w:hint="eastAsia" w:ascii="仿宋" w:hAnsi="仿宋" w:eastAsia="仿宋" w:cs="仿宋_GB2312"/>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6"/>
            <w:noWrap w:val="0"/>
            <w:vAlign w:val="center"/>
          </w:tcPr>
          <w:p>
            <w:pPr>
              <w:jc w:val="center"/>
              <w:rPr>
                <w:rFonts w:ascii="仿宋" w:hAnsi="仿宋" w:eastAsia="仿宋" w:cs="宋体"/>
                <w:szCs w:val="21"/>
              </w:rPr>
            </w:pPr>
            <w:r>
              <w:rPr>
                <w:rFonts w:hint="eastAsia" w:ascii="仿宋" w:hAnsi="仿宋" w:eastAsia="仿宋" w:cs="仿宋_GB2312"/>
                <w:bCs/>
                <w:szCs w:val="21"/>
              </w:rPr>
              <w:t>注：①本表中所涉及的评审资料是响应文件的重要组成内容，未按要求提供或资料不全的将导致相应得分的丢失。②本表中所涉及的评审资料，</w:t>
            </w:r>
            <w:r>
              <w:rPr>
                <w:rFonts w:hint="eastAsia" w:ascii="仿宋" w:hAnsi="仿宋" w:eastAsia="仿宋" w:cs="仿宋_GB2312"/>
                <w:bCs/>
                <w:szCs w:val="21"/>
                <w:lang w:eastAsia="zh-CN"/>
              </w:rPr>
              <w:t>参选机构</w:t>
            </w:r>
            <w:r>
              <w:rPr>
                <w:rFonts w:hint="eastAsia" w:ascii="仿宋" w:hAnsi="仿宋" w:eastAsia="仿宋" w:cs="仿宋_GB2312"/>
                <w:bCs/>
                <w:szCs w:val="21"/>
              </w:rPr>
              <w:t>应当在响应文件中按要求提交原件或复印件，并对其真实性负责。③评分的取值按四舍五入法，保留小数点后两位。④涉及评审的资料都应当清晰可辨，对于模糊或分辨不明的资料，评审专家可以不予以认可。</w:t>
            </w:r>
          </w:p>
        </w:tc>
      </w:tr>
    </w:tbl>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A973BBA"/>
    <w:rsid w:val="04B36EE7"/>
    <w:rsid w:val="0A973BBA"/>
    <w:rsid w:val="104171FB"/>
    <w:rsid w:val="15543DCE"/>
    <w:rsid w:val="167C182F"/>
    <w:rsid w:val="19DF45AE"/>
    <w:rsid w:val="1EF87EC0"/>
    <w:rsid w:val="20485C90"/>
    <w:rsid w:val="22571F8F"/>
    <w:rsid w:val="23515DF1"/>
    <w:rsid w:val="27150793"/>
    <w:rsid w:val="28066922"/>
    <w:rsid w:val="299E3412"/>
    <w:rsid w:val="2C6F41F6"/>
    <w:rsid w:val="2F0F2DE8"/>
    <w:rsid w:val="339612A0"/>
    <w:rsid w:val="33FB7DDF"/>
    <w:rsid w:val="34A02734"/>
    <w:rsid w:val="37E066AE"/>
    <w:rsid w:val="3A1F0EAE"/>
    <w:rsid w:val="3E96613D"/>
    <w:rsid w:val="45D16BF2"/>
    <w:rsid w:val="46E62229"/>
    <w:rsid w:val="478B6AA8"/>
    <w:rsid w:val="4B316836"/>
    <w:rsid w:val="4F804E91"/>
    <w:rsid w:val="4FA64C4B"/>
    <w:rsid w:val="516E3AE8"/>
    <w:rsid w:val="544B5B10"/>
    <w:rsid w:val="587873A1"/>
    <w:rsid w:val="58F05189"/>
    <w:rsid w:val="5B455E20"/>
    <w:rsid w:val="5E5419D2"/>
    <w:rsid w:val="5FBB641C"/>
    <w:rsid w:val="637372DE"/>
    <w:rsid w:val="64D97BE2"/>
    <w:rsid w:val="65FC6F1B"/>
    <w:rsid w:val="679F04A6"/>
    <w:rsid w:val="68B97345"/>
    <w:rsid w:val="69BD2A10"/>
    <w:rsid w:val="69D1246D"/>
    <w:rsid w:val="6CFE17CB"/>
    <w:rsid w:val="6FD54016"/>
    <w:rsid w:val="72D406B1"/>
    <w:rsid w:val="73C779CE"/>
    <w:rsid w:val="754C786C"/>
    <w:rsid w:val="767E72A2"/>
    <w:rsid w:val="7815632F"/>
    <w:rsid w:val="7886787C"/>
    <w:rsid w:val="7E40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rPr>
  </w:style>
  <w:style w:type="paragraph" w:styleId="4">
    <w:name w:val="annotation text"/>
    <w:basedOn w:val="1"/>
    <w:qFormat/>
    <w:uiPriority w:val="0"/>
    <w:pPr>
      <w:jc w:val="left"/>
    </w:pPr>
  </w:style>
  <w:style w:type="paragraph" w:styleId="5">
    <w:name w:val="Body Text"/>
    <w:basedOn w:val="1"/>
    <w:next w:val="1"/>
    <w:semiHidden/>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14149</Words>
  <Characters>14624</Characters>
  <Lines>0</Lines>
  <Paragraphs>0</Paragraphs>
  <TotalTime>8</TotalTime>
  <ScaleCrop>false</ScaleCrop>
  <LinksUpToDate>false</LinksUpToDate>
  <CharactersWithSpaces>14734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2024-11-14T03:17:00Z</dcterms:created>
  <dc:creator>天啊娃娃</dc:creator>
  <cp:lastModifiedBy>邓恕</cp:lastModifiedBy>
  <dcterms:modified xsi:type="dcterms:W3CDTF">2024-12-20T07:45:09Z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34994D59552546E29262F25E4F9CED26_13</vt:lpwstr>
  </property>
  <property fmtid="{D5CDD505-2E9C-101B-9397-08002B2CF9AE}" pid="4" name="KSOTemplateDocerSaveRecord">
    <vt:lpwstr>eyJoZGlkIjoiODg2NGRhZTE4ZDQ1NWU0NTliNDQ5YTk5NzNjMzQ3MzEiLCJ1c2VySWQiOiI0NTc0NTM5ODIifQ==</vt:lpwstr>
  </property>
</Properties>
</file>