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6ED3E">
      <w:pPr>
        <w:ind w:firstLine="640" w:firstLineChars="200"/>
        <w:rPr>
          <w:rFonts w:hint="eastAsia" w:ascii="仿宋_GB2312" w:hAnsi="仿宋_GB2312" w:eastAsia="仿宋_GB2312" w:cs="仿宋_GB2312"/>
          <w:sz w:val="32"/>
        </w:rPr>
      </w:pPr>
      <w:bookmarkStart w:id="3" w:name="_GoBack"/>
      <w:bookmarkEnd w:id="3"/>
    </w:p>
    <w:p w14:paraId="1D8C3EED">
      <w:pPr>
        <w:ind w:firstLine="640"/>
        <w:rPr>
          <w:rFonts w:ascii="仿宋_GB2312" w:hAnsi="仿宋_GB2312" w:eastAsia="仿宋_GB2312" w:cs="仿宋_GB2312"/>
          <w:sz w:val="30"/>
          <w:szCs w:val="30"/>
        </w:rPr>
      </w:pPr>
      <w:r>
        <w:rPr>
          <w:rFonts w:hint="eastAsia" w:ascii="仿宋_GB2312" w:hAnsi="仿宋_GB2312" w:eastAsia="仿宋_GB2312" w:cs="仿宋_GB2312"/>
          <w:sz w:val="30"/>
          <w:szCs w:val="30"/>
        </w:rPr>
        <w:t>附件1：</w:t>
      </w:r>
      <w:r>
        <w:rPr>
          <w:rFonts w:hint="eastAsia" w:ascii="仿宋_GB2312" w:hAnsi="仿宋_GB2312" w:eastAsia="仿宋_GB2312" w:cs="仿宋_GB2312"/>
          <w:sz w:val="30"/>
          <w:szCs w:val="30"/>
          <w:lang w:eastAsia="zh-CN"/>
        </w:rPr>
        <w:t>参选</w:t>
      </w:r>
      <w:r>
        <w:rPr>
          <w:rFonts w:hint="eastAsia" w:ascii="仿宋_GB2312" w:hAnsi="仿宋_GB2312" w:eastAsia="仿宋_GB2312" w:cs="仿宋_GB2312"/>
          <w:sz w:val="30"/>
          <w:szCs w:val="30"/>
        </w:rPr>
        <w:t>机构要求（含资质要求、合作模式及技术</w:t>
      </w:r>
    </w:p>
    <w:p w14:paraId="57091BC6">
      <w:pPr>
        <w:ind w:firstLine="1809" w:firstLineChars="603"/>
        <w:rPr>
          <w:rFonts w:ascii="仿宋_GB2312" w:hAnsi="仿宋_GB2312" w:eastAsia="仿宋_GB2312" w:cs="仿宋_GB2312"/>
          <w:sz w:val="30"/>
          <w:szCs w:val="30"/>
        </w:rPr>
      </w:pPr>
      <w:r>
        <w:rPr>
          <w:rFonts w:hint="eastAsia" w:ascii="仿宋_GB2312" w:hAnsi="仿宋_GB2312" w:eastAsia="仿宋_GB2312" w:cs="仿宋_GB2312"/>
          <w:sz w:val="30"/>
          <w:szCs w:val="30"/>
        </w:rPr>
        <w:t>要求等）</w:t>
      </w:r>
    </w:p>
    <w:p w14:paraId="342FEFF3">
      <w:pPr>
        <w:ind w:firstLine="640" w:firstLineChars="0"/>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附件2：合作方案基本格式</w:t>
      </w:r>
    </w:p>
    <w:p w14:paraId="29771F99">
      <w:pPr>
        <w:ind w:firstLine="640" w:firstLineChars="0"/>
        <w:outlineLvl w:val="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 xml:space="preserve">附件3: </w:t>
      </w:r>
      <w:r>
        <w:rPr>
          <w:rFonts w:hint="eastAsia" w:ascii="仿宋_GB2312" w:hAnsi="仿宋_GB2312" w:eastAsia="仿宋_GB2312" w:cs="仿宋_GB2312"/>
          <w:sz w:val="30"/>
          <w:szCs w:val="30"/>
          <w:lang w:eastAsia="zh-CN"/>
        </w:rPr>
        <w:t>报价表</w:t>
      </w:r>
    </w:p>
    <w:p w14:paraId="1D683F7D">
      <w:pPr>
        <w:ind w:firstLine="640" w:firstLineChars="0"/>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附件</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参选方案文件书装订顺序</w:t>
      </w:r>
    </w:p>
    <w:p w14:paraId="0E13F47F">
      <w:pPr>
        <w:ind w:firstLine="640" w:firstLineChars="0"/>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：偏离表</w:t>
      </w:r>
    </w:p>
    <w:p w14:paraId="1A2CEC7D">
      <w:pPr>
        <w:ind w:firstLine="640" w:firstLineChars="0"/>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hint="eastAsia" w:ascii="仿宋_GB2312" w:hAnsi="仿宋_GB2312" w:eastAsia="仿宋_GB2312" w:cs="仿宋_GB2312"/>
          <w:sz w:val="30"/>
          <w:szCs w:val="30"/>
          <w:lang w:val="en-US" w:eastAsia="zh-CN"/>
        </w:rPr>
        <w:t>6</w:t>
      </w:r>
      <w:r>
        <w:rPr>
          <w:rFonts w:hint="eastAsia" w:ascii="仿宋_GB2312" w:hAnsi="仿宋_GB2312" w:eastAsia="仿宋_GB2312" w:cs="仿宋_GB2312"/>
          <w:sz w:val="30"/>
          <w:szCs w:val="30"/>
        </w:rPr>
        <w:t>：法定代表人身份授权书</w:t>
      </w:r>
    </w:p>
    <w:p w14:paraId="1D30D6C7">
      <w:pPr>
        <w:ind w:firstLine="640" w:firstLineChars="0"/>
        <w:outlineLvl w:val="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hint="eastAsia" w:ascii="仿宋_GB2312" w:hAnsi="仿宋_GB2312" w:eastAsia="仿宋_GB2312" w:cs="仿宋_GB2312"/>
          <w:sz w:val="30"/>
          <w:szCs w:val="30"/>
          <w:lang w:val="en-US" w:eastAsia="zh-CN"/>
        </w:rPr>
        <w:t>7</w:t>
      </w:r>
      <w:r>
        <w:rPr>
          <w:rFonts w:hint="eastAsia" w:ascii="仿宋_GB2312" w:hAnsi="仿宋_GB2312" w:eastAsia="仿宋_GB2312" w:cs="仿宋_GB2312"/>
          <w:sz w:val="30"/>
          <w:szCs w:val="30"/>
        </w:rPr>
        <w:t>：反商业贿赂承诺书</w:t>
      </w:r>
    </w:p>
    <w:p w14:paraId="286960EE">
      <w:pPr>
        <w:ind w:firstLine="64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eastAsia="zh-CN"/>
        </w:rPr>
        <w:t>附件</w:t>
      </w:r>
      <w:r>
        <w:rPr>
          <w:rFonts w:hint="eastAsia" w:ascii="仿宋_GB2312" w:hAnsi="仿宋_GB2312" w:eastAsia="仿宋_GB2312" w:cs="仿宋_GB2312"/>
          <w:sz w:val="30"/>
          <w:szCs w:val="30"/>
          <w:lang w:val="en-US" w:eastAsia="zh-CN"/>
        </w:rPr>
        <w:t>8：参选机构遵守遴选纪律承诺书</w:t>
      </w:r>
    </w:p>
    <w:p w14:paraId="2BCC0764">
      <w:pPr>
        <w:ind w:firstLine="640"/>
        <w:rPr>
          <w:rFonts w:ascii="仿宋_GB2312" w:hAnsi="仿宋_GB2312" w:eastAsia="仿宋_GB2312" w:cs="仿宋_GB2312"/>
          <w:sz w:val="30"/>
          <w:szCs w:val="30"/>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0"/>
          <w:szCs w:val="30"/>
        </w:rPr>
        <w:t>附件</w:t>
      </w:r>
      <w:r>
        <w:rPr>
          <w:rFonts w:hint="eastAsia" w:ascii="仿宋_GB2312" w:hAnsi="仿宋_GB2312" w:eastAsia="仿宋_GB2312" w:cs="仿宋_GB2312"/>
          <w:sz w:val="30"/>
          <w:szCs w:val="30"/>
          <w:lang w:val="en-US" w:eastAsia="zh-CN"/>
        </w:rPr>
        <w:t>9</w:t>
      </w:r>
      <w:r>
        <w:rPr>
          <w:rFonts w:hint="eastAsia" w:ascii="仿宋_GB2312" w:hAnsi="仿宋_GB2312" w:eastAsia="仿宋_GB2312" w:cs="仿宋_GB2312"/>
          <w:sz w:val="30"/>
          <w:szCs w:val="30"/>
        </w:rPr>
        <w:t>：评审办法（综合评分明细表）</w:t>
      </w:r>
    </w:p>
    <w:p w14:paraId="34E60266">
      <w:pPr>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附件1:</w:t>
      </w:r>
    </w:p>
    <w:p w14:paraId="51CE3F0A">
      <w:pPr>
        <w:spacing w:line="360" w:lineRule="auto"/>
        <w:ind w:firstLine="3040" w:firstLineChars="0"/>
        <w:outlineLvl w:val="9"/>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lang w:eastAsia="zh-CN"/>
        </w:rPr>
        <w:t>参选</w:t>
      </w:r>
      <w:r>
        <w:rPr>
          <w:rFonts w:hint="eastAsia" w:ascii="仿宋_GB2312" w:hAnsi="仿宋_GB2312" w:eastAsia="仿宋_GB2312" w:cs="仿宋_GB2312"/>
          <w:b/>
          <w:color w:val="000000"/>
          <w:sz w:val="30"/>
          <w:szCs w:val="30"/>
        </w:rPr>
        <w:t>机构要求</w:t>
      </w:r>
    </w:p>
    <w:p w14:paraId="155686D9">
      <w:pPr>
        <w:spacing w:line="360" w:lineRule="auto"/>
        <w:ind w:firstLine="3040" w:firstLineChars="0"/>
        <w:outlineLvl w:val="9"/>
        <w:rPr>
          <w:rFonts w:ascii="仿宋_GB2312" w:hAnsi="仿宋_GB2312" w:eastAsia="仿宋_GB2312" w:cs="仿宋_GB2312"/>
          <w:b/>
          <w:color w:val="000000"/>
          <w:sz w:val="30"/>
          <w:szCs w:val="30"/>
        </w:rPr>
      </w:pPr>
    </w:p>
    <w:p w14:paraId="58988FD2">
      <w:pPr>
        <w:ind w:firstLine="640"/>
        <w:rPr>
          <w:rFonts w:ascii="仿宋_GB2312" w:hAnsi="仿宋_GB2312" w:eastAsia="仿宋_GB2312" w:cs="仿宋_GB2312"/>
          <w:sz w:val="30"/>
          <w:szCs w:val="30"/>
        </w:rPr>
      </w:pPr>
      <w:r>
        <w:rPr>
          <w:rFonts w:hint="eastAsia" w:ascii="仿宋_GB2312" w:hAnsi="仿宋_GB2312" w:eastAsia="仿宋_GB2312" w:cs="仿宋_GB2312"/>
          <w:b/>
          <w:bCs/>
          <w:sz w:val="30"/>
          <w:szCs w:val="30"/>
        </w:rPr>
        <w:t>总体要求：</w:t>
      </w:r>
      <w:r>
        <w:rPr>
          <w:rFonts w:hint="eastAsia" w:ascii="仿宋_GB2312" w:hAnsi="仿宋_GB2312" w:eastAsia="仿宋_GB2312" w:cs="仿宋_GB2312"/>
          <w:sz w:val="30"/>
          <w:szCs w:val="30"/>
        </w:rPr>
        <w:t>拟遴选一家孕妇外周血胎儿游离DNA（T21、T18、T13）检测项目（简称NIPT项目）的第三方医学检测机构，稳定并扩大我院NIPT项目对外合作范围。</w:t>
      </w:r>
    </w:p>
    <w:p w14:paraId="47CBDFA3">
      <w:pPr>
        <w:ind w:firstLine="640"/>
        <w:rPr>
          <w:rFonts w:ascii="仿宋_GB2312" w:hAnsi="仿宋_GB2312" w:eastAsia="仿宋_GB2312" w:cs="仿宋_GB2312"/>
          <w:sz w:val="30"/>
          <w:szCs w:val="30"/>
        </w:rPr>
      </w:pPr>
      <w:r>
        <w:rPr>
          <w:rFonts w:hint="eastAsia" w:ascii="仿宋_GB2312" w:hAnsi="仿宋_GB2312" w:eastAsia="仿宋_GB2312" w:cs="仿宋_GB2312"/>
          <w:sz w:val="30"/>
          <w:szCs w:val="30"/>
        </w:rPr>
        <w:t>由第三方医学检测机构负责对我院NIPT项目院外合作市场进行项目开拓，并提供检测、科研、运营管理等综合服务；我院负责临床报告出具、技术指导、人员培训、质量控制和项目整体监管，共同为四川省妇幼保健院项目合作医院体系的患者提供疾病筛查、诊断与治疗服务，共享合作成果，共同推动该技术惠及于我省孕产妇及其家庭的民生发展。</w:t>
      </w:r>
    </w:p>
    <w:p w14:paraId="3916EF85">
      <w:pPr>
        <w:spacing w:line="360" w:lineRule="auto"/>
        <w:ind w:firstLine="596" w:firstLineChars="198"/>
        <w:outlineLvl w:val="0"/>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1.资质要求</w:t>
      </w:r>
    </w:p>
    <w:p w14:paraId="525747F4">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1.1 提供三证合一的营业执照（经有效年检，副本复印件）。</w:t>
      </w:r>
    </w:p>
    <w:p w14:paraId="32BB59F4">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1.2 法定代表人身份授权书（原件，格式见附件</w:t>
      </w:r>
      <w:r>
        <w:rPr>
          <w:rFonts w:hint="eastAsia" w:ascii="仿宋_GB2312" w:hAnsi="仿宋_GB2312" w:eastAsia="仿宋_GB2312" w:cs="仿宋_GB2312"/>
          <w:color w:val="000000"/>
          <w:sz w:val="30"/>
          <w:szCs w:val="30"/>
          <w:lang w:val="en-US" w:eastAsia="zh-CN"/>
        </w:rPr>
        <w:t>6</w:t>
      </w:r>
      <w:r>
        <w:rPr>
          <w:rFonts w:hint="eastAsia" w:ascii="仿宋_GB2312" w:hAnsi="仿宋_GB2312" w:eastAsia="仿宋_GB2312" w:cs="仿宋_GB2312"/>
          <w:color w:val="000000"/>
          <w:sz w:val="30"/>
          <w:szCs w:val="30"/>
        </w:rPr>
        <w:t>）,法定代表人和授权代表有效的身份证复印件。</w:t>
      </w:r>
    </w:p>
    <w:p w14:paraId="4AB9D1B2">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1.3 医疗机构执业许可证（复印件）。</w:t>
      </w:r>
    </w:p>
    <w:p w14:paraId="51E2484A">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1.4 具备临床基因扩增检验实验室资质（以</w:t>
      </w:r>
      <w:r>
        <w:rPr>
          <w:rFonts w:hint="eastAsia" w:ascii="仿宋_GB2312" w:hAnsi="仿宋_GB2312" w:eastAsia="仿宋_GB2312" w:cs="仿宋_GB2312"/>
          <w:color w:val="000000"/>
          <w:sz w:val="30"/>
          <w:szCs w:val="30"/>
          <w:lang w:eastAsia="zh-CN"/>
        </w:rPr>
        <w:t>参选单位</w:t>
      </w:r>
      <w:r>
        <w:rPr>
          <w:rFonts w:hint="eastAsia" w:ascii="仿宋_GB2312" w:hAnsi="仿宋_GB2312" w:eastAsia="仿宋_GB2312" w:cs="仿宋_GB2312"/>
          <w:color w:val="000000"/>
          <w:sz w:val="30"/>
          <w:szCs w:val="30"/>
        </w:rPr>
        <w:t>提供临床检验部门出具的批复文件或实验室认定证书复印件为评审依据）。</w:t>
      </w:r>
    </w:p>
    <w:p w14:paraId="63036A39">
      <w:pPr>
        <w:spacing w:line="360" w:lineRule="auto"/>
        <w:ind w:firstLine="600" w:firstLineChars="200"/>
        <w:rPr>
          <w:rFonts w:ascii="仿宋_GB2312" w:hAnsi="仿宋_GB2312" w:eastAsia="仿宋_GB2312" w:cs="仿宋_GB2312"/>
          <w:color w:val="000000"/>
          <w:sz w:val="30"/>
          <w:szCs w:val="30"/>
          <w:highlight w:val="none"/>
        </w:rPr>
      </w:pPr>
      <w:r>
        <w:rPr>
          <w:rFonts w:hint="eastAsia" w:ascii="仿宋_GB2312" w:hAnsi="仿宋_GB2312" w:eastAsia="仿宋_GB2312" w:cs="仿宋_GB2312"/>
          <w:color w:val="000000"/>
          <w:sz w:val="30"/>
          <w:szCs w:val="30"/>
        </w:rPr>
        <w:t>1.5 检测方法：高通量测序法。参选单位针对NIPT检测项目所使用的各品牌测序设备及试剂均取得有效的医疗器械产品注册证（提供各品牌测序设</w:t>
      </w:r>
      <w:r>
        <w:rPr>
          <w:rFonts w:hint="eastAsia" w:ascii="仿宋_GB2312" w:hAnsi="仿宋_GB2312" w:eastAsia="仿宋_GB2312" w:cs="仿宋_GB2312"/>
          <w:color w:val="000000"/>
          <w:sz w:val="30"/>
          <w:szCs w:val="30"/>
          <w:highlight w:val="none"/>
        </w:rPr>
        <w:t>备权属证明</w:t>
      </w:r>
      <w:r>
        <w:rPr>
          <w:rFonts w:hint="eastAsia" w:ascii="仿宋_GB2312" w:hAnsi="仿宋_GB2312" w:eastAsia="仿宋_GB2312" w:cs="仿宋_GB2312"/>
          <w:color w:val="000000"/>
          <w:sz w:val="30"/>
          <w:szCs w:val="30"/>
          <w:highlight w:val="none"/>
          <w:lang w:val="en-US" w:eastAsia="zh-CN"/>
        </w:rPr>
        <w:t>如采购发票或采购合同等，提供</w:t>
      </w:r>
      <w:r>
        <w:rPr>
          <w:rFonts w:hint="eastAsia" w:ascii="仿宋_GB2312" w:hAnsi="仿宋_GB2312" w:eastAsia="仿宋_GB2312" w:cs="仿宋_GB2312"/>
          <w:color w:val="000000"/>
          <w:sz w:val="30"/>
          <w:szCs w:val="30"/>
          <w:highlight w:val="none"/>
        </w:rPr>
        <w:t>测序设备</w:t>
      </w:r>
      <w:r>
        <w:rPr>
          <w:rFonts w:hint="eastAsia" w:ascii="仿宋_GB2312" w:hAnsi="仿宋_GB2312" w:eastAsia="仿宋_GB2312" w:cs="仿宋_GB2312"/>
          <w:color w:val="000000"/>
          <w:sz w:val="30"/>
          <w:szCs w:val="30"/>
          <w:highlight w:val="none"/>
          <w:lang w:val="en-US" w:eastAsia="zh-CN"/>
        </w:rPr>
        <w:t>及</w:t>
      </w:r>
      <w:r>
        <w:rPr>
          <w:rFonts w:hint="eastAsia" w:ascii="仿宋_GB2312" w:hAnsi="仿宋_GB2312" w:eastAsia="仿宋_GB2312" w:cs="仿宋_GB2312"/>
          <w:color w:val="000000"/>
          <w:sz w:val="30"/>
          <w:szCs w:val="30"/>
          <w:highlight w:val="none"/>
        </w:rPr>
        <w:t>检测试剂注册证）。</w:t>
      </w:r>
    </w:p>
    <w:p w14:paraId="3263F730">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highlight w:val="none"/>
        </w:rPr>
        <w:t>1.6 近三年内，参选单位（包含母公司和子公司）无重</w:t>
      </w:r>
      <w:r>
        <w:rPr>
          <w:rFonts w:hint="eastAsia" w:ascii="仿宋_GB2312" w:hAnsi="仿宋_GB2312" w:eastAsia="仿宋_GB2312" w:cs="仿宋_GB2312"/>
          <w:color w:val="000000"/>
          <w:sz w:val="30"/>
          <w:szCs w:val="30"/>
        </w:rPr>
        <w:t>大行贿犯罪记录，无重大负面新闻（提供承诺函原件）。</w:t>
      </w:r>
    </w:p>
    <w:p w14:paraId="2A62D3A0">
      <w:pPr>
        <w:spacing w:line="360" w:lineRule="auto"/>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1.7近三年内，参选单位（包含母公司和子公司）未在经营活动中因违法行为（包括消防安全等问题）受到刑事处罚、处以罚款或者没收财产5万元以上、责令停产停业、吊销许可证或者执照等行政处罚（提供承诺函原件）。</w:t>
      </w:r>
    </w:p>
    <w:p w14:paraId="3A4E5A9B">
      <w:pPr>
        <w:spacing w:line="360" w:lineRule="auto"/>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1.8</w:t>
      </w:r>
      <w:r>
        <w:rPr>
          <w:rFonts w:hint="eastAsia" w:ascii="仿宋_GB2312" w:hAnsi="仿宋_GB2312" w:eastAsia="仿宋_GB2312" w:cs="仿宋_GB2312"/>
          <w:color w:val="000000"/>
          <w:sz w:val="30"/>
          <w:szCs w:val="30"/>
        </w:rPr>
        <w:t>反商业贿赂承诺书（附件7）</w:t>
      </w:r>
      <w:r>
        <w:rPr>
          <w:rFonts w:hint="eastAsia" w:ascii="仿宋_GB2312" w:hAnsi="仿宋_GB2312" w:eastAsia="仿宋_GB2312" w:cs="仿宋_GB2312"/>
          <w:color w:val="000000"/>
          <w:sz w:val="30"/>
          <w:szCs w:val="30"/>
          <w:lang w:eastAsia="zh-CN"/>
        </w:rPr>
        <w:t>。</w:t>
      </w:r>
    </w:p>
    <w:p w14:paraId="66C9DD7B">
      <w:pPr>
        <w:spacing w:line="360" w:lineRule="auto"/>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1.9</w:t>
      </w:r>
      <w:r>
        <w:rPr>
          <w:rFonts w:hint="eastAsia" w:ascii="仿宋_GB2312" w:hAnsi="仿宋_GB2312" w:eastAsia="仿宋_GB2312" w:cs="仿宋_GB2312"/>
          <w:color w:val="000000"/>
          <w:sz w:val="30"/>
          <w:szCs w:val="30"/>
        </w:rPr>
        <w:t>参选机构遵守遴选纪律承诺书（提供承诺函原件，附件8）</w:t>
      </w:r>
      <w:r>
        <w:rPr>
          <w:rFonts w:hint="eastAsia" w:ascii="仿宋_GB2312" w:hAnsi="仿宋_GB2312" w:eastAsia="仿宋_GB2312" w:cs="仿宋_GB2312"/>
          <w:color w:val="000000"/>
          <w:sz w:val="30"/>
          <w:szCs w:val="30"/>
          <w:lang w:eastAsia="zh-CN"/>
        </w:rPr>
        <w:t>。</w:t>
      </w:r>
    </w:p>
    <w:p w14:paraId="6019DA04">
      <w:pPr>
        <w:spacing w:line="360" w:lineRule="auto"/>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1.10</w:t>
      </w:r>
      <w:r>
        <w:rPr>
          <w:rFonts w:hint="eastAsia" w:ascii="仿宋_GB2312" w:hAnsi="仿宋_GB2312" w:eastAsia="仿宋_GB2312" w:cs="仿宋_GB2312"/>
          <w:color w:val="000000"/>
          <w:sz w:val="30"/>
          <w:szCs w:val="30"/>
        </w:rPr>
        <w:t>本次遴选活动不接受联合体投标。</w:t>
      </w:r>
    </w:p>
    <w:p w14:paraId="370F4E0C">
      <w:pPr>
        <w:spacing w:line="360" w:lineRule="auto"/>
        <w:rPr>
          <w:rFonts w:hint="eastAsia" w:ascii="仿宋_GB2312" w:hAnsi="仿宋_GB2312" w:eastAsia="仿宋_GB2312" w:cs="仿宋_GB2312"/>
          <w:b/>
          <w:bCs/>
          <w:color w:val="000000"/>
          <w:spacing w:val="-6"/>
          <w:szCs w:val="21"/>
        </w:rPr>
      </w:pPr>
      <w:r>
        <w:rPr>
          <w:rFonts w:hint="eastAsia" w:ascii="仿宋_GB2312" w:hAnsi="仿宋_GB2312" w:eastAsia="仿宋_GB2312" w:cs="仿宋_GB2312"/>
          <w:b/>
          <w:bCs/>
          <w:color w:val="000000"/>
          <w:spacing w:val="-6"/>
          <w:szCs w:val="21"/>
        </w:rPr>
        <w:t>注：①</w:t>
      </w:r>
      <w:r>
        <w:rPr>
          <w:rFonts w:hint="eastAsia" w:ascii="仿宋_GB2312" w:hAnsi="仿宋_GB2312" w:eastAsia="仿宋_GB2312" w:cs="仿宋_GB2312"/>
          <w:b/>
          <w:bCs/>
          <w:color w:val="000000"/>
          <w:spacing w:val="-6"/>
          <w:szCs w:val="21"/>
          <w:lang w:val="en-US" w:eastAsia="zh-CN"/>
        </w:rPr>
        <w:t>1.6</w:t>
      </w:r>
      <w:r>
        <w:rPr>
          <w:rFonts w:hint="eastAsia" w:ascii="仿宋_GB2312" w:hAnsi="仿宋_GB2312" w:eastAsia="仿宋_GB2312" w:cs="仿宋_GB2312"/>
          <w:b/>
          <w:bCs/>
          <w:color w:val="000000"/>
          <w:spacing w:val="-6"/>
          <w:szCs w:val="21"/>
        </w:rPr>
        <w:t>—</w:t>
      </w:r>
      <w:r>
        <w:rPr>
          <w:rFonts w:hint="eastAsia" w:ascii="仿宋_GB2312" w:hAnsi="仿宋_GB2312" w:eastAsia="仿宋_GB2312" w:cs="仿宋_GB2312"/>
          <w:b/>
          <w:bCs/>
          <w:color w:val="000000"/>
          <w:spacing w:val="-6"/>
          <w:szCs w:val="21"/>
          <w:lang w:val="en-US" w:eastAsia="zh-CN"/>
        </w:rPr>
        <w:t>1.10</w:t>
      </w:r>
      <w:r>
        <w:rPr>
          <w:rFonts w:hint="eastAsia" w:ascii="仿宋_GB2312" w:hAnsi="仿宋_GB2312" w:eastAsia="仿宋_GB2312" w:cs="仿宋_GB2312"/>
          <w:b/>
          <w:bCs/>
          <w:color w:val="000000"/>
          <w:spacing w:val="-6"/>
          <w:szCs w:val="21"/>
        </w:rPr>
        <w:t>均提供承诺函原件并加盖鲜章。</w:t>
      </w:r>
    </w:p>
    <w:p w14:paraId="71C17E83">
      <w:pPr>
        <w:spacing w:line="360" w:lineRule="auto"/>
        <w:rPr>
          <w:rFonts w:ascii="仿宋_GB2312" w:hAnsi="仿宋_GB2312" w:eastAsia="仿宋_GB2312" w:cs="仿宋_GB2312"/>
          <w:b/>
          <w:bCs/>
          <w:color w:val="000000"/>
          <w:spacing w:val="-6"/>
          <w:szCs w:val="21"/>
        </w:rPr>
      </w:pPr>
      <w:r>
        <w:rPr>
          <w:rFonts w:hint="eastAsia" w:ascii="仿宋_GB2312" w:hAnsi="仿宋_GB2312" w:eastAsia="仿宋_GB2312" w:cs="仿宋_GB2312"/>
          <w:b/>
          <w:bCs/>
          <w:color w:val="000000"/>
          <w:spacing w:val="-6"/>
          <w:szCs w:val="21"/>
        </w:rPr>
        <w:t>②参选</w:t>
      </w:r>
      <w:r>
        <w:rPr>
          <w:rFonts w:hint="eastAsia" w:ascii="仿宋_GB2312" w:hAnsi="仿宋_GB2312" w:eastAsia="仿宋_GB2312" w:cs="仿宋_GB2312"/>
          <w:b/>
          <w:bCs/>
          <w:color w:val="000000"/>
          <w:spacing w:val="-6"/>
          <w:szCs w:val="21"/>
          <w:lang w:eastAsia="zh-CN"/>
        </w:rPr>
        <w:t>单位</w:t>
      </w:r>
      <w:r>
        <w:rPr>
          <w:rFonts w:hint="eastAsia" w:ascii="仿宋_GB2312" w:hAnsi="仿宋_GB2312" w:eastAsia="仿宋_GB2312" w:cs="仿宋_GB2312"/>
          <w:b/>
          <w:bCs/>
          <w:color w:val="000000"/>
          <w:spacing w:val="-6"/>
          <w:szCs w:val="21"/>
        </w:rPr>
        <w:t>应按遴选公告的规定和要求附上所有的资格证明文件，要求提供复印件的必须加盖单位印章，并在必要时提供原件备查。若提供的资格证明文件不全或不实，将导致其合作资格被取消。</w:t>
      </w:r>
    </w:p>
    <w:p w14:paraId="559A3B09">
      <w:pPr>
        <w:spacing w:line="360" w:lineRule="auto"/>
        <w:ind w:firstLine="590" w:firstLineChars="196"/>
        <w:outlineLvl w:val="0"/>
        <w:rPr>
          <w:rFonts w:ascii="仿宋_GB2312" w:hAnsi="仿宋_GB2312" w:eastAsia="仿宋_GB2312" w:cs="仿宋_GB2312"/>
          <w:b/>
          <w:color w:val="000000"/>
          <w:sz w:val="30"/>
          <w:szCs w:val="30"/>
        </w:rPr>
      </w:pPr>
      <w:r>
        <w:rPr>
          <w:rFonts w:hint="eastAsia" w:ascii="仿宋" w:hAnsi="仿宋" w:eastAsia="仿宋" w:cs="仿宋"/>
          <w:b/>
          <w:color w:val="000000"/>
          <w:sz w:val="30"/>
          <w:szCs w:val="30"/>
          <w:lang w:val="en-US" w:eastAsia="zh-CN"/>
        </w:rPr>
        <w:t>★</w:t>
      </w:r>
      <w:r>
        <w:rPr>
          <w:rFonts w:hint="eastAsia" w:ascii="仿宋_GB2312" w:hAnsi="仿宋_GB2312" w:eastAsia="仿宋_GB2312" w:cs="仿宋_GB2312"/>
          <w:b/>
          <w:color w:val="000000"/>
          <w:sz w:val="30"/>
          <w:szCs w:val="30"/>
        </w:rPr>
        <w:t>2.合作模式</w:t>
      </w:r>
    </w:p>
    <w:p w14:paraId="48134FB8">
      <w:pPr>
        <w:numPr>
          <w:ilvl w:val="-1"/>
          <w:numId w:val="0"/>
        </w:numPr>
        <w:spacing w:line="360" w:lineRule="auto"/>
        <w:ind w:firstLine="600" w:firstLineChars="200"/>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w:t>
      </w:r>
      <w:r>
        <w:rPr>
          <w:rFonts w:hint="eastAsia" w:ascii="仿宋_GB2312" w:hAnsi="仿宋_GB2312" w:eastAsia="仿宋_GB2312" w:cs="仿宋_GB2312"/>
          <w:color w:val="000000"/>
          <w:sz w:val="30"/>
          <w:szCs w:val="30"/>
        </w:rPr>
        <w:t>引入具备资质完善、综合实力较强的检测机构，由其稳定、扩大、运营我院NIPT项目院外医院合作体系，提升服务质量、扩大合作范围、增强体系学术支持、加强科学管理。同时，检测机构须严格按照相关政策要求，选择符合资质的产筛/产诊机构进行合作，</w:t>
      </w:r>
      <w:r>
        <w:rPr>
          <w:rFonts w:hint="eastAsia" w:ascii="仿宋_GB2312" w:hAnsi="仿宋_GB2312" w:eastAsia="仿宋_GB2312" w:cs="仿宋_GB2312"/>
          <w:color w:val="000000"/>
          <w:sz w:val="30"/>
          <w:szCs w:val="30"/>
          <w:lang w:val="en-US" w:eastAsia="zh-CN"/>
        </w:rPr>
        <w:t>沿用现有利益共享合作模式（提供承诺函）。</w:t>
      </w:r>
    </w:p>
    <w:p w14:paraId="40F78C05">
      <w:pPr>
        <w:numPr>
          <w:ilvl w:val="-1"/>
          <w:numId w:val="0"/>
        </w:numPr>
        <w:spacing w:line="360" w:lineRule="auto"/>
        <w:ind w:firstLine="600" w:firstLineChars="200"/>
        <w:rPr>
          <w:rFonts w:hint="default"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2.要求参选单位在与我院的合作期内，每年运营样本量（</w:t>
      </w:r>
      <w:r>
        <w:rPr>
          <w:rFonts w:hint="eastAsia" w:ascii="仿宋_GB2312" w:hAnsi="仿宋_GB2312" w:eastAsia="仿宋_GB2312" w:cs="仿宋_GB2312"/>
          <w:color w:val="000000"/>
          <w:sz w:val="30"/>
          <w:szCs w:val="30"/>
          <w:highlight w:val="none"/>
        </w:rPr>
        <w:t>院外产诊产筛医院模式</w:t>
      </w:r>
      <w:r>
        <w:rPr>
          <w:rFonts w:hint="eastAsia" w:ascii="仿宋_GB2312" w:hAnsi="仿宋_GB2312" w:eastAsia="仿宋_GB2312" w:cs="仿宋_GB2312"/>
          <w:color w:val="000000"/>
          <w:sz w:val="30"/>
          <w:szCs w:val="30"/>
          <w:highlight w:val="none"/>
          <w:lang w:val="en-US" w:eastAsia="zh-CN"/>
        </w:rPr>
        <w:t>+</w:t>
      </w:r>
      <w:r>
        <w:rPr>
          <w:rFonts w:hint="eastAsia" w:ascii="仿宋_GB2312" w:hAnsi="仿宋_GB2312" w:eastAsia="仿宋_GB2312" w:cs="仿宋_GB2312"/>
          <w:color w:val="000000"/>
          <w:sz w:val="30"/>
          <w:szCs w:val="30"/>
          <w:highlight w:val="none"/>
        </w:rPr>
        <w:t>院外非资质医院转诊模式</w:t>
      </w:r>
      <w:r>
        <w:rPr>
          <w:rFonts w:hint="eastAsia" w:ascii="仿宋_GB2312" w:hAnsi="仿宋_GB2312" w:eastAsia="仿宋_GB2312" w:cs="仿宋_GB2312"/>
          <w:color w:val="000000"/>
          <w:sz w:val="30"/>
          <w:szCs w:val="30"/>
          <w:highlight w:val="none"/>
          <w:lang w:val="en-US" w:eastAsia="zh-CN"/>
        </w:rPr>
        <w:t>）不低于4.8万例（</w:t>
      </w:r>
      <w:r>
        <w:rPr>
          <w:rFonts w:hint="eastAsia" w:ascii="仿宋_GB2312" w:hAnsi="仿宋_GB2312" w:eastAsia="仿宋_GB2312" w:cs="仿宋_GB2312"/>
          <w:color w:val="000000"/>
          <w:sz w:val="30"/>
          <w:szCs w:val="30"/>
          <w:lang w:val="en-US" w:eastAsia="zh-CN"/>
        </w:rPr>
        <w:t>提供承诺函</w:t>
      </w:r>
      <w:r>
        <w:rPr>
          <w:rFonts w:hint="eastAsia" w:ascii="仿宋_GB2312" w:hAnsi="仿宋_GB2312" w:eastAsia="仿宋_GB2312" w:cs="仿宋_GB2312"/>
          <w:color w:val="000000"/>
          <w:sz w:val="30"/>
          <w:szCs w:val="30"/>
          <w:highlight w:val="none"/>
          <w:lang w:val="en-US" w:eastAsia="zh-CN"/>
        </w:rPr>
        <w:t>）。</w:t>
      </w:r>
    </w:p>
    <w:p w14:paraId="7E0561CD">
      <w:pPr>
        <w:spacing w:line="360" w:lineRule="auto"/>
        <w:ind w:firstLine="560"/>
        <w:rPr>
          <w:rFonts w:ascii="仿宋_GB2312" w:hAnsi="仿宋_GB2312" w:eastAsia="仿宋_GB2312" w:cs="仿宋_GB2312"/>
          <w:color w:val="000000"/>
          <w:sz w:val="30"/>
          <w:szCs w:val="30"/>
        </w:rPr>
      </w:pPr>
      <w:r>
        <w:rPr>
          <w:rFonts w:hint="eastAsia" w:ascii="仿宋" w:hAnsi="仿宋" w:eastAsia="仿宋" w:cs="仿宋"/>
          <w:b/>
          <w:color w:val="000000"/>
          <w:sz w:val="30"/>
          <w:szCs w:val="30"/>
          <w:lang w:val="en-US" w:eastAsia="zh-CN"/>
        </w:rPr>
        <w:t>★条款为</w:t>
      </w:r>
      <w:r>
        <w:rPr>
          <w:rFonts w:hint="eastAsia" w:ascii="仿宋_GB2312" w:hAnsi="仿宋_GB2312" w:eastAsia="仿宋_GB2312" w:cs="仿宋_GB2312"/>
          <w:b/>
          <w:color w:val="000000"/>
          <w:sz w:val="30"/>
          <w:szCs w:val="30"/>
          <w:lang w:val="en-US" w:eastAsia="zh-CN"/>
        </w:rPr>
        <w:t>实质性条款，如果不满足视为无效投标。</w:t>
      </w:r>
    </w:p>
    <w:p w14:paraId="0B2F486B">
      <w:pPr>
        <w:ind w:firstLine="596" w:firstLineChars="198"/>
        <w:outlineLvl w:val="0"/>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3.技术要求</w:t>
      </w:r>
    </w:p>
    <w:p w14:paraId="11355CAB">
      <w:pPr>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rPr>
        <w:t>3.1 参选单位</w:t>
      </w:r>
      <w:r>
        <w:rPr>
          <w:rFonts w:ascii="仿宋_GB2312" w:hAnsi="仿宋_GB2312" w:eastAsia="仿宋_GB2312" w:cs="仿宋_GB2312"/>
          <w:color w:val="000000"/>
          <w:sz w:val="30"/>
          <w:szCs w:val="30"/>
        </w:rPr>
        <w:t>提供</w:t>
      </w:r>
      <w:r>
        <w:rPr>
          <w:rFonts w:hint="eastAsia" w:ascii="仿宋_GB2312" w:hAnsi="仿宋_GB2312" w:eastAsia="仿宋_GB2312" w:cs="仿宋_GB2312"/>
          <w:sz w:val="30"/>
          <w:szCs w:val="30"/>
        </w:rPr>
        <w:t>规范化开展NIPT项目的</w:t>
      </w:r>
      <w:r>
        <w:rPr>
          <w:rFonts w:hint="eastAsia" w:ascii="仿宋_GB2312" w:hAnsi="仿宋_GB2312" w:eastAsia="仿宋_GB2312" w:cs="仿宋_GB2312"/>
          <w:sz w:val="30"/>
          <w:szCs w:val="30"/>
          <w:lang w:val="en-US" w:eastAsia="zh-CN"/>
        </w:rPr>
        <w:t>四川省内</w:t>
      </w:r>
      <w:r>
        <w:rPr>
          <w:rFonts w:hint="eastAsia" w:ascii="仿宋_GB2312" w:hAnsi="仿宋_GB2312" w:eastAsia="仿宋_GB2312" w:cs="仿宋_GB2312"/>
          <w:sz w:val="30"/>
          <w:szCs w:val="30"/>
        </w:rPr>
        <w:t>质控数据，项目性能表现需优于国家及四川省卫健委相关政策指标</w:t>
      </w:r>
      <w:r>
        <w:rPr>
          <w:rFonts w:ascii="仿宋_GB2312" w:hAnsi="仿宋_GB2312" w:eastAsia="仿宋_GB2312" w:cs="仿宋_GB2312"/>
          <w:sz w:val="30"/>
          <w:szCs w:val="30"/>
        </w:rPr>
        <w:t>，</w:t>
      </w:r>
      <w:r>
        <w:rPr>
          <w:rFonts w:hint="eastAsia" w:ascii="仿宋_GB2312" w:hAnsi="仿宋_GB2312" w:eastAsia="仿宋_GB2312" w:cs="仿宋_GB2312"/>
          <w:color w:val="000000"/>
          <w:sz w:val="30"/>
          <w:szCs w:val="30"/>
        </w:rPr>
        <w:t>满足21三体综合征检出率不低于95%，18三体综合征检出率不低于85%，13三体综合征检出率不低于70%。21三体综合征、18三体综合征、13三体综合征的复合假阳性率不高于0.5%，复合阳性预测值不低于50%，由于凝血、溶血、DNA质量控制不合格等标本原因造成的检测失败率不超过5%（提供试剂盒说明书和</w:t>
      </w:r>
      <w:r>
        <w:rPr>
          <w:rFonts w:hint="eastAsia" w:ascii="仿宋_GB2312" w:hAnsi="仿宋_GB2312" w:eastAsia="仿宋_GB2312" w:cs="仿宋_GB2312"/>
          <w:sz w:val="30"/>
          <w:szCs w:val="30"/>
        </w:rPr>
        <w:t>实际数据分析证明</w:t>
      </w:r>
      <w:r>
        <w:rPr>
          <w:rFonts w:ascii="仿宋_GB2312" w:hAnsi="仿宋_GB2312" w:eastAsia="仿宋_GB2312" w:cs="仿宋_GB2312"/>
          <w:sz w:val="30"/>
          <w:szCs w:val="30"/>
        </w:rPr>
        <w:t>文件并</w:t>
      </w:r>
      <w:r>
        <w:rPr>
          <w:rFonts w:hint="eastAsia" w:ascii="仿宋_GB2312" w:hAnsi="仿宋_GB2312" w:eastAsia="仿宋_GB2312" w:cs="仿宋_GB2312"/>
          <w:color w:val="000000"/>
          <w:sz w:val="30"/>
          <w:szCs w:val="30"/>
        </w:rPr>
        <w:t>加盖公章）</w:t>
      </w:r>
      <w:r>
        <w:rPr>
          <w:rFonts w:hint="eastAsia" w:ascii="仿宋_GB2312" w:hAnsi="仿宋_GB2312" w:eastAsia="仿宋_GB2312" w:cs="仿宋_GB2312"/>
          <w:b/>
          <w:bCs/>
          <w:color w:val="000000"/>
          <w:sz w:val="30"/>
          <w:szCs w:val="30"/>
        </w:rPr>
        <w:t>。</w:t>
      </w:r>
    </w:p>
    <w:p w14:paraId="5D767D72">
      <w:pPr>
        <w:spacing w:line="360" w:lineRule="auto"/>
        <w:ind w:firstLine="600" w:firstLineChars="200"/>
        <w:rPr>
          <w:rFonts w:ascii="仿宋_GB2312" w:hAnsi="仿宋_GB2312" w:eastAsia="仿宋_GB2312" w:cs="仿宋_GB2312"/>
          <w:color w:val="000000"/>
          <w:sz w:val="30"/>
          <w:szCs w:val="30"/>
          <w:highlight w:val="yellow"/>
        </w:rPr>
      </w:pPr>
      <w:r>
        <w:rPr>
          <w:rFonts w:hint="eastAsia" w:ascii="仿宋_GB2312" w:hAnsi="仿宋_GB2312" w:eastAsia="仿宋_GB2312" w:cs="仿宋_GB2312"/>
          <w:color w:val="000000"/>
          <w:sz w:val="30"/>
          <w:szCs w:val="30"/>
        </w:rPr>
        <w:t>3.2 参选单位有独立完成NIPT项目的检测能力，提供完善的质量控制体系说</w:t>
      </w:r>
      <w:r>
        <w:rPr>
          <w:rFonts w:hint="eastAsia" w:ascii="仿宋_GB2312" w:hAnsi="仿宋_GB2312" w:eastAsia="仿宋_GB2312" w:cs="仿宋_GB2312"/>
          <w:color w:val="000000"/>
          <w:sz w:val="30"/>
          <w:szCs w:val="30"/>
          <w:highlight w:val="none"/>
        </w:rPr>
        <w:t>明（提供质控体系说明）。</w:t>
      </w:r>
    </w:p>
    <w:p w14:paraId="23C75EFA">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3.3 参选单位检测设备测序通量至少满足单台测序设备、单次运行通量达到1000M及以上（提供产品说明书等相关资料）。</w:t>
      </w:r>
    </w:p>
    <w:p w14:paraId="4A078BE4">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highlight w:val="none"/>
        </w:rPr>
        <w:t>3.4 参选单位针对本项目配置的人员需符合四川省卫健委关于本项目政策（川卫办发〔2017〕32号）中第一条第（二）款的要求（提供人</w:t>
      </w:r>
      <w:r>
        <w:rPr>
          <w:rFonts w:hint="eastAsia" w:ascii="仿宋_GB2312" w:hAnsi="仿宋_GB2312" w:eastAsia="仿宋_GB2312" w:cs="仿宋_GB2312"/>
          <w:color w:val="000000"/>
          <w:sz w:val="30"/>
          <w:szCs w:val="30"/>
        </w:rPr>
        <w:t>员相关资格证书及</w:t>
      </w:r>
      <w:r>
        <w:rPr>
          <w:rFonts w:hint="eastAsia" w:ascii="仿宋_GB2312" w:hAnsi="仿宋_GB2312" w:eastAsia="仿宋_GB2312" w:cs="仿宋_GB2312"/>
          <w:color w:val="000000"/>
          <w:sz w:val="30"/>
          <w:szCs w:val="30"/>
          <w:lang w:val="en-US" w:eastAsia="zh-CN"/>
        </w:rPr>
        <w:t>参选单位与配置人员签署的</w:t>
      </w:r>
      <w:r>
        <w:rPr>
          <w:rFonts w:hint="eastAsia" w:ascii="仿宋_GB2312" w:hAnsi="仿宋_GB2312" w:eastAsia="仿宋_GB2312" w:cs="仿宋_GB2312"/>
          <w:color w:val="000000"/>
          <w:sz w:val="30"/>
          <w:szCs w:val="30"/>
        </w:rPr>
        <w:t>劳务或</w:t>
      </w:r>
      <w:r>
        <w:rPr>
          <w:rFonts w:hint="eastAsia" w:ascii="仿宋_GB2312" w:hAnsi="仿宋_GB2312" w:eastAsia="仿宋_GB2312" w:cs="仿宋_GB2312"/>
          <w:color w:val="000000"/>
          <w:sz w:val="30"/>
          <w:szCs w:val="30"/>
          <w:lang w:val="en-US" w:eastAsia="zh-CN"/>
        </w:rPr>
        <w:t>劳动</w:t>
      </w:r>
      <w:r>
        <w:rPr>
          <w:rFonts w:hint="eastAsia" w:ascii="仿宋_GB2312" w:hAnsi="仿宋_GB2312" w:eastAsia="仿宋_GB2312" w:cs="仿宋_GB2312"/>
          <w:color w:val="000000"/>
          <w:sz w:val="30"/>
          <w:szCs w:val="30"/>
        </w:rPr>
        <w:t>合同）。</w:t>
      </w:r>
    </w:p>
    <w:p w14:paraId="2DAE6A41">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3.5 具备自有生物信息学团队和服务器计算资源（提供团队负责人及人员履历</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相关人员与参选单位签署的劳务合同或劳动合同</w:t>
      </w:r>
      <w:r>
        <w:rPr>
          <w:rFonts w:hint="eastAsia" w:ascii="仿宋_GB2312" w:hAnsi="仿宋_GB2312" w:eastAsia="仿宋_GB2312" w:cs="仿宋_GB2312"/>
          <w:color w:val="000000"/>
          <w:sz w:val="30"/>
          <w:szCs w:val="30"/>
        </w:rPr>
        <w:t>等证明材料）。</w:t>
      </w:r>
    </w:p>
    <w:p w14:paraId="3B404F5C">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3.6 检测报告时间:自采血至发放临床报告时间不超过15个工作日，其中发出因检测失败须重新采血通知的时间不超过10个工作日（提供承诺函原件及证明文件）。</w:t>
      </w:r>
    </w:p>
    <w:p w14:paraId="297CC1ED">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xml:space="preserve">3.7 参选单位检测平台可以支持除NIPT项目之外的临床应用（提供测序设备NMPA/CFDA认证相应证明）。 </w:t>
      </w:r>
    </w:p>
    <w:p w14:paraId="0874429C">
      <w:pPr>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3.8 数据分析除普通的Z-Test,还有其他可靠且有国际影响力的方法（提供相应证明材料）。</w:t>
      </w:r>
    </w:p>
    <w:p w14:paraId="27B4BD4E">
      <w:pPr>
        <w:spacing w:line="360" w:lineRule="auto"/>
        <w:ind w:firstLine="440" w:firstLineChars="200"/>
        <w:rPr>
          <w:rFonts w:ascii="仿宋_GB2312" w:hAnsi="仿宋_GB2312" w:eastAsia="仿宋_GB2312" w:cs="仿宋_GB2312"/>
          <w:sz w:val="30"/>
          <w:szCs w:val="30"/>
        </w:rPr>
      </w:pPr>
      <w:r>
        <w:rPr>
          <w:rFonts w:hint="eastAsia" w:ascii="仿宋_GB2312" w:hAnsi="仿宋_GB2312" w:eastAsia="仿宋_GB2312" w:cs="仿宋_GB2312"/>
          <w:color w:val="000000"/>
          <w:kern w:val="0"/>
          <w:sz w:val="22"/>
        </w:rPr>
        <w:t>▲</w:t>
      </w:r>
      <w:r>
        <w:rPr>
          <w:rFonts w:hint="eastAsia" w:ascii="仿宋_GB2312" w:hAnsi="仿宋_GB2312" w:eastAsia="仿宋_GB2312" w:cs="仿宋_GB2312"/>
          <w:sz w:val="30"/>
          <w:szCs w:val="30"/>
        </w:rPr>
        <w:t>3.9参选单位检测设备具有国内自主知识产权（提供科技部查新报告）。</w:t>
      </w:r>
    </w:p>
    <w:p w14:paraId="4897D553">
      <w:pPr>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3.10为保证检测结果准确性，每样本的检测数据量≥5M Reads（提供相应证明材料）。</w:t>
      </w:r>
    </w:p>
    <w:p w14:paraId="3DF31ED4">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3.11 为防止因实验失败，首阳验证而至血浆量不足导致需重新采血，提取血浆起始量≤200ul（提供试剂盒说明书）。</w:t>
      </w:r>
    </w:p>
    <w:p w14:paraId="3B075B18">
      <w:pPr>
        <w:spacing w:line="360" w:lineRule="auto"/>
        <w:ind w:firstLine="44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kern w:val="0"/>
          <w:sz w:val="22"/>
        </w:rPr>
        <w:t>▲</w:t>
      </w:r>
      <w:r>
        <w:rPr>
          <w:rFonts w:hint="eastAsia" w:ascii="仿宋_GB2312" w:hAnsi="仿宋_GB2312" w:eastAsia="仿宋_GB2312" w:cs="仿宋_GB2312"/>
          <w:color w:val="000000"/>
          <w:sz w:val="30"/>
          <w:szCs w:val="30"/>
        </w:rPr>
        <w:t>3.12 样本标签序列≥9个碱基（bp）,以提高样本标识的精准度（提供标签序列信息材料证明）。</w:t>
      </w:r>
    </w:p>
    <w:p w14:paraId="10F87F53">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3.13 参选单位使用的测序平台采用边合成边测序或联合探针锚定聚合技术原理（提供试剂盒说明书证明材料）。</w:t>
      </w:r>
    </w:p>
    <w:p w14:paraId="26D32C97">
      <w:pPr>
        <w:spacing w:line="360" w:lineRule="auto"/>
        <w:ind w:firstLine="44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kern w:val="0"/>
          <w:sz w:val="22"/>
        </w:rPr>
        <w:t>▲</w:t>
      </w:r>
      <w:r>
        <w:rPr>
          <w:rFonts w:hint="eastAsia" w:ascii="仿宋_GB2312" w:hAnsi="仿宋_GB2312" w:eastAsia="仿宋_GB2312" w:cs="仿宋_GB2312"/>
          <w:color w:val="000000"/>
          <w:sz w:val="30"/>
          <w:szCs w:val="30"/>
        </w:rPr>
        <w:t>3.14为降低PCR错误累计，实验过程采用PCR-free或线性扩增（提供测序设备彩页等相应证明材料）</w:t>
      </w:r>
      <w:r>
        <w:rPr>
          <w:rFonts w:ascii="仿宋_GB2312" w:hAnsi="仿宋_GB2312" w:eastAsia="仿宋_GB2312" w:cs="仿宋_GB2312"/>
          <w:color w:val="000000"/>
          <w:sz w:val="30"/>
          <w:szCs w:val="30"/>
        </w:rPr>
        <w:t>。</w:t>
      </w:r>
    </w:p>
    <w:p w14:paraId="3CBBF839">
      <w:pPr>
        <w:spacing w:line="360" w:lineRule="auto"/>
        <w:ind w:firstLine="44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kern w:val="0"/>
          <w:sz w:val="22"/>
        </w:rPr>
        <w:t>▲</w:t>
      </w:r>
      <w:r>
        <w:rPr>
          <w:rFonts w:hint="eastAsia" w:ascii="仿宋_GB2312" w:hAnsi="仿宋_GB2312" w:eastAsia="仿宋_GB2312" w:cs="仿宋_GB2312"/>
          <w:color w:val="000000"/>
          <w:sz w:val="30"/>
          <w:szCs w:val="30"/>
        </w:rPr>
        <w:t>3.15 为保证测序数据准度，上机测序过程不存在扩增过程（提供相应证明材料）。</w:t>
      </w:r>
    </w:p>
    <w:p w14:paraId="4AF20462">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3.16负责与我院LIS系统对接并承担所有接口费用，在线完成审核（样本信息、检测信息、质控信息、检测结果等）（提供承诺函）。</w:t>
      </w:r>
    </w:p>
    <w:p w14:paraId="76F98F9A">
      <w:pPr>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rPr>
        <w:t>3.17 孕妇可在我院官网直接查询检测结</w:t>
      </w:r>
      <w:r>
        <w:rPr>
          <w:rFonts w:hint="eastAsia" w:ascii="仿宋_GB2312" w:hAnsi="仿宋_GB2312" w:eastAsia="仿宋_GB2312" w:cs="仿宋_GB2312"/>
          <w:sz w:val="30"/>
          <w:szCs w:val="30"/>
        </w:rPr>
        <w:t>果（需在合作方案内体现）。</w:t>
      </w:r>
    </w:p>
    <w:p w14:paraId="705FDEE6">
      <w:pPr>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sz w:val="30"/>
          <w:szCs w:val="30"/>
        </w:rPr>
        <w:t>3.18</w:t>
      </w:r>
      <w:r>
        <w:rPr>
          <w:rFonts w:hint="eastAsia" w:ascii="仿宋_GB2312" w:hAnsi="仿宋_GB2312" w:eastAsia="仿宋_GB2312" w:cs="仿宋_GB2312"/>
          <w:color w:val="000000"/>
          <w:sz w:val="30"/>
          <w:szCs w:val="30"/>
        </w:rPr>
        <w:t>协助医院提供受检孕妇追踪随访服务</w:t>
      </w:r>
      <w:r>
        <w:rPr>
          <w:rFonts w:hint="eastAsia" w:ascii="仿宋_GB2312" w:hAnsi="仿宋_GB2312" w:eastAsia="仿宋_GB2312" w:cs="仿宋_GB2312"/>
          <w:color w:val="000000"/>
          <w:sz w:val="30"/>
          <w:szCs w:val="30"/>
          <w:lang w:val="en-US" w:eastAsia="zh-CN"/>
        </w:rPr>
        <w:t>和阳性病人转诊服务</w:t>
      </w:r>
      <w:r>
        <w:rPr>
          <w:rFonts w:hint="eastAsia" w:ascii="仿宋_GB2312" w:hAnsi="仿宋_GB2312" w:eastAsia="仿宋_GB2312" w:cs="仿宋_GB2312"/>
          <w:color w:val="000000"/>
          <w:sz w:val="30"/>
          <w:szCs w:val="30"/>
        </w:rPr>
        <w:t>（提供无创筛查阳性报告单以及转诊单或者转诊后的诊断报告）。</w:t>
      </w:r>
    </w:p>
    <w:p w14:paraId="48130060">
      <w:pPr>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rPr>
        <w:t>3.19参选单位需提供完善的物流运输体系文件</w:t>
      </w:r>
      <w:r>
        <w:rPr>
          <w:rFonts w:hint="eastAsia" w:ascii="仿宋_GB2312" w:hAnsi="仿宋_GB2312" w:eastAsia="仿宋_GB2312" w:cs="仿宋_GB2312"/>
          <w:sz w:val="30"/>
          <w:szCs w:val="30"/>
        </w:rPr>
        <w:t>（提供相应证明文件）。</w:t>
      </w:r>
    </w:p>
    <w:p w14:paraId="0999E01C">
      <w:pPr>
        <w:spacing w:line="360" w:lineRule="auto"/>
        <w:ind w:left="1" w:firstLine="564" w:firstLineChars="188"/>
        <w:rPr>
          <w:rFonts w:hint="default" w:ascii="仿宋_GB2312" w:hAnsi="仿宋_GB2312" w:eastAsia="仿宋_GB2312" w:cs="仿宋_GB2312"/>
          <w:color w:val="000000"/>
          <w:sz w:val="30"/>
          <w:szCs w:val="30"/>
          <w:highlight w:val="none"/>
        </w:rPr>
      </w:pPr>
      <w:r>
        <w:rPr>
          <w:rFonts w:hint="eastAsia" w:ascii="仿宋_GB2312" w:hAnsi="仿宋_GB2312" w:eastAsia="仿宋_GB2312" w:cs="仿宋_GB2312"/>
          <w:color w:val="000000"/>
          <w:sz w:val="30"/>
          <w:szCs w:val="30"/>
        </w:rPr>
        <w:t>3.20 为受检者提供保险保障措施</w:t>
      </w:r>
      <w:r>
        <w:rPr>
          <w:rFonts w:hint="eastAsia" w:ascii="仿宋_GB2312" w:hAnsi="仿宋_GB2312" w:eastAsia="仿宋_GB2312" w:cs="仿宋_GB2312"/>
          <w:color w:val="000000"/>
          <w:sz w:val="30"/>
          <w:szCs w:val="30"/>
          <w:highlight w:val="none"/>
        </w:rPr>
        <w:t>（提供实际使用的保险保单原件）。</w:t>
      </w:r>
    </w:p>
    <w:p w14:paraId="5B94FBB0">
      <w:pPr>
        <w:ind w:firstLine="596" w:firstLineChars="198"/>
        <w:outlineLvl w:val="0"/>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4.实力与服务能力要求</w:t>
      </w:r>
    </w:p>
    <w:p w14:paraId="1A3628BB">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4.1 提供实验室检测能力认证（提供ISO15189、CAP及国际三标体系实验室认证证书复印件）。</w:t>
      </w:r>
    </w:p>
    <w:p w14:paraId="663D98B3">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4.2 提供近三年实验室室间质评证书（提供复印件）。</w:t>
      </w:r>
    </w:p>
    <w:p w14:paraId="32D40C21">
      <w:pPr>
        <w:spacing w:line="360" w:lineRule="auto"/>
        <w:ind w:firstLine="600" w:firstLineChars="200"/>
        <w:rPr>
          <w:rFonts w:hint="eastAsia" w:ascii="仿宋_GB2312" w:hAnsi="仿宋_GB2312" w:eastAsia="仿宋_GB2312" w:cs="仿宋_GB2312"/>
          <w:color w:val="000000"/>
          <w:sz w:val="30"/>
          <w:szCs w:val="30"/>
          <w:lang w:eastAsia="zh-CN"/>
        </w:rPr>
      </w:pPr>
      <w:r>
        <w:rPr>
          <w:rFonts w:hint="eastAsia" w:ascii="仿宋_GB2312" w:hAnsi="仿宋_GB2312" w:eastAsia="仿宋_GB2312" w:cs="仿宋_GB2312"/>
          <w:color w:val="000000"/>
          <w:sz w:val="30"/>
          <w:szCs w:val="30"/>
        </w:rPr>
        <w:t>4.3 为满足检测通量要求，至少满足单台测序设备、单次运行可检验样本量不低于96例</w:t>
      </w:r>
      <w:r>
        <w:rPr>
          <w:rFonts w:hint="eastAsia" w:ascii="仿宋_GB2312" w:hAnsi="仿宋_GB2312" w:eastAsia="仿宋_GB2312" w:cs="仿宋_GB2312"/>
          <w:color w:val="000000"/>
          <w:sz w:val="30"/>
          <w:szCs w:val="30"/>
          <w:lang w:eastAsia="zh-CN"/>
        </w:rPr>
        <w:t>。</w:t>
      </w:r>
    </w:p>
    <w:p w14:paraId="4E4617B2">
      <w:pPr>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4.4 参选单位（包含母公司和子公司）具备参与过国家科技部国家重点研发计划重点专项并参与承担课题的能力（提供相应证明文件）。</w:t>
      </w:r>
    </w:p>
    <w:p w14:paraId="11E38891">
      <w:pPr>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rPr>
        <w:t>4.5 参选单位具备较强生物信息分析能力，参选单位（包含母公司和子公司）或其在职员工（包含母公司和子公司）在</w:t>
      </w:r>
      <w:r>
        <w:rPr>
          <w:rFonts w:hint="eastAsia" w:ascii="仿宋_GB2312" w:hAnsi="仿宋_GB2312" w:eastAsia="仿宋_GB2312" w:cs="仿宋_GB2312"/>
          <w:sz w:val="30"/>
          <w:szCs w:val="30"/>
        </w:rPr>
        <w:t>国际顶级杂志发表过NIPT生物信息算法的高质量文章（提供作者与参选机构存续劳动合同、文章影响因子分值及其他证明文件）。</w:t>
      </w:r>
    </w:p>
    <w:p w14:paraId="3ED02B67">
      <w:pPr>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4.6在</w:t>
      </w:r>
      <w:bookmarkStart w:id="0" w:name="OLE_LINK3"/>
      <w:r>
        <w:rPr>
          <w:rFonts w:hint="eastAsia" w:ascii="仿宋_GB2312" w:hAnsi="仿宋_GB2312" w:eastAsia="仿宋_GB2312" w:cs="仿宋_GB2312"/>
          <w:sz w:val="30"/>
          <w:szCs w:val="30"/>
        </w:rPr>
        <w:t>NIPT项目</w:t>
      </w:r>
      <w:bookmarkEnd w:id="0"/>
      <w:r>
        <w:rPr>
          <w:rFonts w:hint="eastAsia" w:ascii="仿宋_GB2312" w:hAnsi="仿宋_GB2312" w:eastAsia="仿宋_GB2312" w:cs="仿宋_GB2312"/>
          <w:sz w:val="30"/>
          <w:szCs w:val="30"/>
        </w:rPr>
        <w:t>规范化开展方面，参选单位</w:t>
      </w:r>
      <w:r>
        <w:rPr>
          <w:rFonts w:hint="eastAsia" w:ascii="仿宋_GB2312" w:hAnsi="仿宋_GB2312" w:eastAsia="仿宋_GB2312" w:cs="仿宋_GB2312"/>
          <w:sz w:val="30"/>
          <w:szCs w:val="30"/>
          <w:lang w:val="en-US" w:eastAsia="zh-CN"/>
        </w:rPr>
        <w:t>具有在</w:t>
      </w:r>
      <w:r>
        <w:rPr>
          <w:rFonts w:hint="eastAsia" w:ascii="仿宋_GB2312" w:hAnsi="仿宋_GB2312" w:eastAsia="仿宋_GB2312" w:cs="仿宋_GB2312"/>
          <w:sz w:val="30"/>
          <w:szCs w:val="30"/>
        </w:rPr>
        <w:t>四川省内</w:t>
      </w:r>
      <w:r>
        <w:rPr>
          <w:rFonts w:hint="eastAsia" w:ascii="仿宋_GB2312" w:hAnsi="仿宋_GB2312" w:eastAsia="仿宋_GB2312" w:cs="仿宋_GB2312"/>
          <w:sz w:val="30"/>
          <w:szCs w:val="30"/>
          <w:lang w:val="en-US" w:eastAsia="zh-CN"/>
        </w:rPr>
        <w:t>为</w:t>
      </w:r>
      <w:r>
        <w:rPr>
          <w:rFonts w:hint="eastAsia" w:ascii="仿宋_GB2312" w:hAnsi="仿宋_GB2312" w:eastAsia="仿宋_GB2312" w:cs="仿宋_GB2312"/>
          <w:sz w:val="30"/>
          <w:szCs w:val="30"/>
        </w:rPr>
        <w:t>具备产前诊断、产前筛查资质的医疗机构提供NIPT项目检测服务并</w:t>
      </w:r>
      <w:r>
        <w:rPr>
          <w:rFonts w:hint="eastAsia" w:ascii="仿宋_GB2312" w:hAnsi="仿宋_GB2312" w:eastAsia="仿宋_GB2312" w:cs="仿宋_GB2312"/>
          <w:sz w:val="30"/>
          <w:szCs w:val="30"/>
          <w:lang w:val="en-US" w:eastAsia="zh-CN"/>
        </w:rPr>
        <w:t>尚</w:t>
      </w:r>
      <w:r>
        <w:rPr>
          <w:rFonts w:hint="eastAsia" w:ascii="仿宋_GB2312" w:hAnsi="仿宋_GB2312" w:eastAsia="仿宋_GB2312" w:cs="仿宋_GB2312"/>
          <w:sz w:val="30"/>
          <w:szCs w:val="30"/>
        </w:rPr>
        <w:t>处在合作期内的合作业绩（如有，需提供参选单位在四川省内从事NIPT项目检测服务并处在合作期内的产筛、产诊机构合作协议复印件作为相关证明并加盖公章）。</w:t>
      </w:r>
    </w:p>
    <w:p w14:paraId="2C621354">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4.7参选单位在成都市内投资（持股）有本地实验室（提供该实验室股权证明和实验室相关资质证明）。</w:t>
      </w:r>
    </w:p>
    <w:p w14:paraId="2EFC3F93">
      <w:pPr>
        <w:ind w:firstLine="596" w:firstLineChars="198"/>
        <w:outlineLvl w:val="0"/>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5.报价要求</w:t>
      </w:r>
    </w:p>
    <w:p w14:paraId="180EAA94">
      <w:pPr>
        <w:spacing w:line="360" w:lineRule="auto"/>
        <w:ind w:firstLine="600" w:firstLineChars="200"/>
        <w:rPr>
          <w:rFonts w:hint="default"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rPr>
        <w:t>5.1</w:t>
      </w:r>
      <w:r>
        <w:rPr>
          <w:rFonts w:ascii="仿宋_GB2312" w:hAnsi="仿宋_GB2312" w:eastAsia="仿宋_GB2312" w:cs="仿宋_GB2312"/>
          <w:sz w:val="30"/>
          <w:szCs w:val="30"/>
          <w:highlight w:val="none"/>
        </w:rPr>
        <w:t>院外产诊产筛医院模式</w:t>
      </w:r>
      <w:r>
        <w:rPr>
          <w:rFonts w:hint="eastAsia" w:ascii="仿宋_GB2312" w:hAnsi="仿宋_GB2312" w:eastAsia="仿宋_GB2312" w:cs="仿宋_GB2312"/>
          <w:sz w:val="30"/>
          <w:szCs w:val="30"/>
          <w:highlight w:val="none"/>
          <w:lang w:eastAsia="zh-CN"/>
        </w:rPr>
        <w:t>：</w:t>
      </w:r>
      <w:r>
        <w:rPr>
          <w:rFonts w:hint="eastAsia" w:ascii="仿宋_GB2312" w:hAnsi="仿宋_GB2312" w:eastAsia="仿宋_GB2312" w:cs="仿宋_GB2312"/>
          <w:color w:val="000000"/>
          <w:sz w:val="30"/>
          <w:szCs w:val="30"/>
          <w:highlight w:val="none"/>
        </w:rPr>
        <w:t>我院在本项目合作下的每一例收益分配不低于本项目在四川省各地物价收费标准的</w:t>
      </w:r>
      <w:r>
        <w:rPr>
          <w:rFonts w:hint="eastAsia" w:ascii="仿宋_GB2312" w:hAnsi="仿宋_GB2312" w:eastAsia="仿宋_GB2312" w:cs="仿宋_GB2312"/>
          <w:sz w:val="30"/>
          <w:szCs w:val="30"/>
          <w:highlight w:val="none"/>
          <w:lang w:eastAsia="zh-CN"/>
        </w:rPr>
        <w:t>2</w:t>
      </w:r>
      <w:r>
        <w:rPr>
          <w:rFonts w:hint="eastAsia" w:ascii="仿宋_GB2312" w:hAnsi="仿宋_GB2312" w:eastAsia="仿宋_GB2312" w:cs="仿宋_GB2312"/>
          <w:sz w:val="30"/>
          <w:szCs w:val="30"/>
          <w:highlight w:val="none"/>
          <w:lang w:val="en-US" w:eastAsia="zh-CN"/>
        </w:rPr>
        <w:t>0</w:t>
      </w:r>
      <w:r>
        <w:rPr>
          <w:rFonts w:ascii="仿宋_GB2312" w:hAnsi="仿宋_GB2312" w:eastAsia="仿宋_GB2312" w:cs="仿宋_GB2312"/>
          <w:sz w:val="30"/>
          <w:szCs w:val="30"/>
          <w:highlight w:val="none"/>
        </w:rPr>
        <w:t>%</w:t>
      </w:r>
      <w:r>
        <w:rPr>
          <w:rFonts w:hint="eastAsia" w:ascii="仿宋_GB2312" w:hAnsi="仿宋_GB2312" w:eastAsia="仿宋_GB2312" w:cs="仿宋_GB2312"/>
          <w:sz w:val="30"/>
          <w:szCs w:val="30"/>
          <w:highlight w:val="none"/>
          <w:lang w:eastAsia="zh-CN"/>
        </w:rPr>
        <w:t>，</w:t>
      </w:r>
      <w:r>
        <w:rPr>
          <w:rFonts w:hint="eastAsia" w:ascii="仿宋_GB2312" w:hAnsi="仿宋_GB2312" w:eastAsia="仿宋_GB2312" w:cs="仿宋_GB2312"/>
          <w:sz w:val="30"/>
          <w:szCs w:val="30"/>
          <w:highlight w:val="none"/>
          <w:lang w:val="en-US" w:eastAsia="zh-CN"/>
        </w:rPr>
        <w:t>如果按上述计算的收益分配低于300元每例的，则</w:t>
      </w:r>
      <w:r>
        <w:rPr>
          <w:rFonts w:hint="eastAsia" w:ascii="仿宋_GB2312" w:hAnsi="仿宋_GB2312" w:eastAsia="仿宋_GB2312" w:cs="仿宋_GB2312"/>
          <w:sz w:val="30"/>
          <w:szCs w:val="30"/>
          <w:highlight w:val="none"/>
          <w:lang w:eastAsia="zh-CN"/>
        </w:rPr>
        <w:t>我院每一例收益</w:t>
      </w:r>
      <w:r>
        <w:rPr>
          <w:rFonts w:hint="eastAsia" w:ascii="仿宋_GB2312" w:hAnsi="仿宋_GB2312" w:eastAsia="仿宋_GB2312" w:cs="仿宋_GB2312"/>
          <w:sz w:val="30"/>
          <w:szCs w:val="30"/>
          <w:highlight w:val="none"/>
          <w:lang w:val="en-US" w:eastAsia="zh-CN"/>
        </w:rPr>
        <w:t>分配均为300元。</w:t>
      </w:r>
    </w:p>
    <w:p w14:paraId="24BB4646">
      <w:pPr>
        <w:spacing w:line="360" w:lineRule="auto"/>
        <w:ind w:firstLine="600" w:firstLineChars="200"/>
        <w:rPr>
          <w:rFonts w:hint="eastAsia" w:ascii="仿宋_GB2312" w:hAnsi="仿宋_GB2312" w:eastAsia="仿宋_GB2312" w:cs="仿宋_GB2312"/>
          <w:color w:val="000000"/>
          <w:sz w:val="30"/>
          <w:szCs w:val="30"/>
          <w:highlight w:val="none"/>
          <w:lang w:eastAsia="zh-CN"/>
        </w:rPr>
      </w:pPr>
      <w:r>
        <w:rPr>
          <w:rFonts w:hint="eastAsia" w:ascii="仿宋_GB2312" w:hAnsi="仿宋_GB2312" w:eastAsia="仿宋_GB2312" w:cs="仿宋_GB2312"/>
          <w:color w:val="000000"/>
          <w:sz w:val="30"/>
          <w:szCs w:val="30"/>
          <w:highlight w:val="none"/>
          <w:lang w:val="en-US" w:eastAsia="zh-CN"/>
        </w:rPr>
        <w:t>5.2</w:t>
      </w:r>
      <w:r>
        <w:rPr>
          <w:rFonts w:ascii="仿宋_GB2312" w:hAnsi="仿宋_GB2312" w:eastAsia="仿宋_GB2312" w:cs="仿宋_GB2312"/>
          <w:color w:val="000000"/>
          <w:sz w:val="30"/>
          <w:szCs w:val="30"/>
          <w:highlight w:val="none"/>
        </w:rPr>
        <w:t>院外非资质医院转诊模式</w:t>
      </w:r>
      <w:r>
        <w:rPr>
          <w:rFonts w:hint="eastAsia" w:ascii="仿宋_GB2312" w:hAnsi="仿宋_GB2312" w:eastAsia="仿宋_GB2312" w:cs="仿宋_GB2312"/>
          <w:color w:val="000000"/>
          <w:sz w:val="30"/>
          <w:szCs w:val="30"/>
          <w:highlight w:val="none"/>
          <w:lang w:eastAsia="zh-CN"/>
        </w:rPr>
        <w:t>：</w:t>
      </w:r>
      <w:r>
        <w:rPr>
          <w:rFonts w:hint="eastAsia" w:ascii="仿宋_GB2312" w:hAnsi="仿宋_GB2312" w:eastAsia="仿宋_GB2312" w:cs="仿宋_GB2312"/>
          <w:color w:val="000000"/>
          <w:sz w:val="30"/>
          <w:szCs w:val="30"/>
          <w:highlight w:val="none"/>
        </w:rPr>
        <w:t>我院在本项目合作下的每一例收益分配不低于</w:t>
      </w:r>
      <w:r>
        <w:rPr>
          <w:rFonts w:hint="eastAsia" w:ascii="仿宋_GB2312" w:hAnsi="仿宋_GB2312" w:eastAsia="仿宋_GB2312" w:cs="仿宋_GB2312"/>
          <w:sz w:val="30"/>
          <w:szCs w:val="30"/>
          <w:highlight w:val="none"/>
        </w:rPr>
        <w:t>四川省三甲医院物价收费标准的</w:t>
      </w:r>
      <w:r>
        <w:rPr>
          <w:rFonts w:ascii="仿宋_GB2312" w:hAnsi="仿宋_GB2312" w:eastAsia="仿宋_GB2312" w:cs="仿宋_GB2312"/>
          <w:sz w:val="30"/>
          <w:szCs w:val="30"/>
          <w:highlight w:val="none"/>
        </w:rPr>
        <w:t>3</w:t>
      </w:r>
      <w:r>
        <w:rPr>
          <w:rFonts w:hint="eastAsia" w:ascii="仿宋_GB2312" w:hAnsi="仿宋_GB2312" w:eastAsia="仿宋_GB2312" w:cs="仿宋_GB2312"/>
          <w:sz w:val="30"/>
          <w:szCs w:val="30"/>
          <w:highlight w:val="none"/>
          <w:lang w:val="en-US" w:eastAsia="zh-CN"/>
        </w:rPr>
        <w:t>5</w:t>
      </w:r>
      <w:r>
        <w:rPr>
          <w:rFonts w:ascii="仿宋_GB2312" w:hAnsi="仿宋_GB2312" w:eastAsia="仿宋_GB2312" w:cs="仿宋_GB2312"/>
          <w:sz w:val="30"/>
          <w:szCs w:val="30"/>
          <w:highlight w:val="none"/>
        </w:rPr>
        <w:t>%</w:t>
      </w:r>
      <w:r>
        <w:rPr>
          <w:rFonts w:hint="eastAsia" w:ascii="仿宋_GB2312" w:hAnsi="仿宋_GB2312" w:eastAsia="仿宋_GB2312" w:cs="仿宋_GB2312"/>
          <w:sz w:val="30"/>
          <w:szCs w:val="30"/>
          <w:highlight w:val="none"/>
          <w:lang w:eastAsia="zh-CN"/>
        </w:rPr>
        <w:t>。</w:t>
      </w:r>
    </w:p>
    <w:p w14:paraId="31AF54EA">
      <w:pPr>
        <w:spacing w:line="360" w:lineRule="auto"/>
        <w:ind w:firstLine="600" w:firstLineChars="200"/>
        <w:rPr>
          <w:rFonts w:ascii="仿宋_GB2312" w:hAnsi="仿宋_GB2312" w:eastAsia="仿宋_GB2312" w:cs="仿宋_GB2312"/>
          <w:color w:val="000000"/>
          <w:sz w:val="30"/>
          <w:szCs w:val="30"/>
          <w:highlight w:val="none"/>
        </w:rPr>
      </w:pPr>
      <w:r>
        <w:rPr>
          <w:rFonts w:hint="eastAsia" w:ascii="仿宋_GB2312" w:hAnsi="仿宋_GB2312" w:eastAsia="仿宋_GB2312" w:cs="仿宋_GB2312"/>
          <w:color w:val="000000"/>
          <w:sz w:val="30"/>
          <w:szCs w:val="30"/>
          <w:highlight w:val="none"/>
        </w:rPr>
        <w:t>5.</w:t>
      </w:r>
      <w:r>
        <w:rPr>
          <w:rFonts w:hint="eastAsia" w:ascii="仿宋_GB2312" w:hAnsi="仿宋_GB2312" w:eastAsia="仿宋_GB2312" w:cs="仿宋_GB2312"/>
          <w:color w:val="000000"/>
          <w:sz w:val="30"/>
          <w:szCs w:val="30"/>
          <w:highlight w:val="none"/>
          <w:lang w:val="en-US" w:eastAsia="zh-CN"/>
        </w:rPr>
        <w:t>3</w:t>
      </w:r>
      <w:r>
        <w:rPr>
          <w:rFonts w:hint="eastAsia" w:ascii="仿宋_GB2312" w:hAnsi="仿宋_GB2312" w:eastAsia="仿宋_GB2312" w:cs="仿宋_GB2312"/>
          <w:color w:val="000000"/>
          <w:sz w:val="30"/>
          <w:szCs w:val="30"/>
          <w:highlight w:val="none"/>
        </w:rPr>
        <w:t xml:space="preserve"> </w:t>
      </w:r>
      <w:r>
        <w:rPr>
          <w:rFonts w:hint="eastAsia" w:ascii="仿宋_GB2312" w:hAnsi="仿宋_GB2312" w:eastAsia="仿宋_GB2312" w:cs="仿宋_GB2312"/>
          <w:color w:val="000000"/>
          <w:sz w:val="30"/>
          <w:szCs w:val="30"/>
          <w:highlight w:val="none"/>
          <w:lang w:eastAsia="zh-CN"/>
        </w:rPr>
        <w:t>上述报价</w:t>
      </w:r>
      <w:r>
        <w:rPr>
          <w:rFonts w:hint="eastAsia" w:ascii="仿宋_GB2312" w:hAnsi="仿宋_GB2312" w:eastAsia="仿宋_GB2312" w:cs="仿宋_GB2312"/>
          <w:color w:val="000000"/>
          <w:sz w:val="30"/>
          <w:szCs w:val="30"/>
          <w:highlight w:val="none"/>
        </w:rPr>
        <w:t>要求</w:t>
      </w:r>
      <w:r>
        <w:rPr>
          <w:rFonts w:hint="eastAsia" w:ascii="仿宋_GB2312" w:hAnsi="仿宋_GB2312" w:eastAsia="仿宋_GB2312" w:cs="仿宋_GB2312"/>
          <w:color w:val="000000"/>
          <w:sz w:val="30"/>
          <w:szCs w:val="30"/>
          <w:highlight w:val="none"/>
          <w:lang w:eastAsia="zh-CN"/>
        </w:rPr>
        <w:t>属于</w:t>
      </w:r>
      <w:r>
        <w:rPr>
          <w:rFonts w:hint="eastAsia" w:ascii="仿宋_GB2312" w:hAnsi="仿宋_GB2312" w:eastAsia="仿宋_GB2312" w:cs="仿宋_GB2312"/>
          <w:color w:val="000000"/>
          <w:sz w:val="30"/>
          <w:szCs w:val="30"/>
          <w:highlight w:val="none"/>
        </w:rPr>
        <w:t>实质性响应条款，低于此限价将被列为无效参选单位。</w:t>
      </w:r>
    </w:p>
    <w:p w14:paraId="37D56741">
      <w:pPr>
        <w:spacing w:line="360" w:lineRule="auto"/>
        <w:ind w:firstLine="600" w:firstLineChars="200"/>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rPr>
        <w:t>为防止恶意竞争，参选单位的报价不得高于所有参选单位报价平均价30%（含）以上，否则会因存在不能完全达到我院合作目的和要求的可能而被列为无效参选单位。</w:t>
      </w:r>
    </w:p>
    <w:p w14:paraId="35E9E8E2">
      <w:pPr>
        <w:spacing w:line="360" w:lineRule="auto"/>
        <w:ind w:firstLine="602" w:firstLineChars="200"/>
        <w:jc w:val="left"/>
        <w:outlineLvl w:val="0"/>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6.合作期限</w:t>
      </w:r>
    </w:p>
    <w:p w14:paraId="7D840066">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项目服务期限：1年。</w:t>
      </w:r>
    </w:p>
    <w:p w14:paraId="21E7473E">
      <w:pPr>
        <w:outlineLvl w:val="9"/>
        <w:rPr>
          <w:rFonts w:hint="eastAsia" w:ascii="仿宋_GB2312" w:hAnsi="仿宋_GB2312" w:eastAsia="仿宋_GB2312" w:cs="仿宋_GB2312"/>
          <w:color w:val="000000"/>
          <w:sz w:val="30"/>
          <w:szCs w:val="30"/>
        </w:rPr>
      </w:pPr>
    </w:p>
    <w:p w14:paraId="241C6127">
      <w:pPr>
        <w:outlineLvl w:val="9"/>
        <w:rPr>
          <w:rFonts w:hint="eastAsia" w:ascii="仿宋_GB2312" w:hAnsi="仿宋_GB2312" w:eastAsia="仿宋_GB2312" w:cs="仿宋_GB2312"/>
          <w:color w:val="000000"/>
          <w:sz w:val="30"/>
          <w:szCs w:val="30"/>
        </w:rPr>
      </w:pPr>
    </w:p>
    <w:p w14:paraId="6B334C1B">
      <w:pPr>
        <w:outlineLvl w:val="9"/>
        <w:rPr>
          <w:rFonts w:hint="eastAsia" w:ascii="仿宋_GB2312" w:hAnsi="仿宋_GB2312" w:eastAsia="仿宋_GB2312" w:cs="仿宋_GB2312"/>
          <w:color w:val="000000"/>
          <w:sz w:val="30"/>
          <w:szCs w:val="30"/>
        </w:rPr>
      </w:pPr>
    </w:p>
    <w:p w14:paraId="1816BD66">
      <w:pPr>
        <w:outlineLvl w:val="9"/>
        <w:rPr>
          <w:rFonts w:hint="eastAsia" w:ascii="仿宋_GB2312" w:hAnsi="仿宋_GB2312" w:eastAsia="仿宋_GB2312" w:cs="仿宋_GB2312"/>
          <w:color w:val="000000"/>
          <w:sz w:val="30"/>
          <w:szCs w:val="30"/>
        </w:rPr>
      </w:pPr>
    </w:p>
    <w:p w14:paraId="70893D88">
      <w:pPr>
        <w:outlineLvl w:val="9"/>
        <w:rPr>
          <w:rFonts w:hint="eastAsia" w:ascii="仿宋_GB2312" w:hAnsi="仿宋_GB2312" w:eastAsia="仿宋_GB2312" w:cs="仿宋_GB2312"/>
          <w:color w:val="000000"/>
          <w:sz w:val="30"/>
          <w:szCs w:val="30"/>
        </w:rPr>
      </w:pPr>
    </w:p>
    <w:p w14:paraId="7A723E8E">
      <w:pPr>
        <w:outlineLvl w:val="9"/>
        <w:rPr>
          <w:rFonts w:hint="eastAsia" w:ascii="仿宋_GB2312" w:hAnsi="仿宋_GB2312" w:eastAsia="仿宋_GB2312" w:cs="仿宋_GB2312"/>
          <w:color w:val="000000"/>
          <w:sz w:val="30"/>
          <w:szCs w:val="30"/>
        </w:rPr>
      </w:pPr>
    </w:p>
    <w:p w14:paraId="3671C217">
      <w:pPr>
        <w:outlineLvl w:val="9"/>
        <w:rPr>
          <w:rFonts w:hint="eastAsia" w:ascii="仿宋_GB2312" w:hAnsi="仿宋_GB2312" w:eastAsia="仿宋_GB2312" w:cs="仿宋_GB2312"/>
          <w:color w:val="000000"/>
          <w:sz w:val="30"/>
          <w:szCs w:val="30"/>
        </w:rPr>
      </w:pPr>
    </w:p>
    <w:p w14:paraId="634DF8A6">
      <w:pPr>
        <w:outlineLvl w:val="9"/>
        <w:rPr>
          <w:rFonts w:hint="eastAsia" w:ascii="仿宋_GB2312" w:hAnsi="仿宋_GB2312" w:eastAsia="仿宋_GB2312" w:cs="仿宋_GB2312"/>
          <w:color w:val="000000"/>
          <w:sz w:val="30"/>
          <w:szCs w:val="30"/>
        </w:rPr>
      </w:pPr>
    </w:p>
    <w:p w14:paraId="08F94A7A">
      <w:pPr>
        <w:outlineLvl w:val="9"/>
        <w:rPr>
          <w:rFonts w:hint="eastAsia" w:ascii="仿宋_GB2312" w:hAnsi="仿宋_GB2312" w:eastAsia="仿宋_GB2312" w:cs="仿宋_GB2312"/>
          <w:color w:val="000000"/>
          <w:sz w:val="30"/>
          <w:szCs w:val="30"/>
        </w:rPr>
      </w:pPr>
    </w:p>
    <w:p w14:paraId="68DA8DD6">
      <w:pPr>
        <w:outlineLvl w:val="9"/>
        <w:rPr>
          <w:rFonts w:hint="eastAsia" w:ascii="仿宋_GB2312" w:hAnsi="仿宋_GB2312" w:eastAsia="仿宋_GB2312" w:cs="仿宋_GB2312"/>
          <w:color w:val="000000"/>
          <w:sz w:val="30"/>
          <w:szCs w:val="30"/>
        </w:rPr>
      </w:pPr>
    </w:p>
    <w:p w14:paraId="49204138">
      <w:pPr>
        <w:outlineLvl w:val="9"/>
        <w:rPr>
          <w:rFonts w:hint="eastAsia" w:ascii="仿宋_GB2312" w:hAnsi="仿宋_GB2312" w:eastAsia="仿宋_GB2312" w:cs="仿宋_GB2312"/>
          <w:color w:val="000000"/>
          <w:sz w:val="30"/>
          <w:szCs w:val="30"/>
        </w:rPr>
      </w:pPr>
    </w:p>
    <w:p w14:paraId="6C7A7017">
      <w:pPr>
        <w:outlineLvl w:val="9"/>
        <w:rPr>
          <w:rFonts w:hint="eastAsia" w:ascii="仿宋_GB2312" w:hAnsi="仿宋_GB2312" w:eastAsia="仿宋_GB2312" w:cs="仿宋_GB2312"/>
          <w:color w:val="000000"/>
          <w:sz w:val="30"/>
          <w:szCs w:val="30"/>
        </w:rPr>
      </w:pPr>
    </w:p>
    <w:p w14:paraId="2532939D">
      <w:pPr>
        <w:outlineLvl w:val="9"/>
        <w:rPr>
          <w:rFonts w:hint="eastAsia" w:ascii="仿宋_GB2312" w:hAnsi="仿宋_GB2312" w:eastAsia="仿宋_GB2312" w:cs="仿宋_GB2312"/>
          <w:color w:val="000000"/>
          <w:sz w:val="30"/>
          <w:szCs w:val="30"/>
        </w:rPr>
      </w:pPr>
    </w:p>
    <w:p w14:paraId="29313074">
      <w:pPr>
        <w:outlineLvl w:val="9"/>
        <w:rPr>
          <w:rFonts w:hint="eastAsia" w:ascii="仿宋_GB2312" w:hAnsi="仿宋_GB2312" w:eastAsia="仿宋_GB2312" w:cs="仿宋_GB2312"/>
          <w:color w:val="000000"/>
          <w:sz w:val="30"/>
          <w:szCs w:val="30"/>
        </w:rPr>
      </w:pPr>
    </w:p>
    <w:p w14:paraId="48939251">
      <w:pPr>
        <w:outlineLvl w:val="9"/>
        <w:rPr>
          <w:rFonts w:hint="eastAsia" w:ascii="仿宋_GB2312" w:hAnsi="仿宋_GB2312" w:eastAsia="仿宋_GB2312" w:cs="仿宋_GB2312"/>
          <w:color w:val="000000"/>
          <w:sz w:val="30"/>
          <w:szCs w:val="30"/>
        </w:rPr>
      </w:pPr>
    </w:p>
    <w:p w14:paraId="0F3D6462">
      <w:pPr>
        <w:outlineLvl w:val="9"/>
        <w:rPr>
          <w:rFonts w:hint="eastAsia" w:ascii="仿宋_GB2312" w:hAnsi="仿宋_GB2312" w:eastAsia="仿宋_GB2312" w:cs="仿宋_GB2312"/>
          <w:color w:val="000000"/>
          <w:sz w:val="30"/>
          <w:szCs w:val="30"/>
        </w:rPr>
      </w:pPr>
    </w:p>
    <w:p w14:paraId="1B938C4E">
      <w:pPr>
        <w:outlineLvl w:val="9"/>
        <w:rPr>
          <w:rFonts w:hint="eastAsia" w:ascii="仿宋_GB2312" w:hAnsi="仿宋_GB2312" w:eastAsia="仿宋_GB2312" w:cs="仿宋_GB2312"/>
          <w:color w:val="000000"/>
          <w:sz w:val="30"/>
          <w:szCs w:val="30"/>
        </w:rPr>
      </w:pPr>
    </w:p>
    <w:p w14:paraId="402DDBAA">
      <w:pPr>
        <w:outlineLvl w:val="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附件2：</w:t>
      </w:r>
    </w:p>
    <w:p w14:paraId="2A67A6F7">
      <w:pPr>
        <w:jc w:val="center"/>
        <w:outlineLvl w:val="9"/>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合作方案基本格式</w:t>
      </w:r>
    </w:p>
    <w:p w14:paraId="4A6C47F0">
      <w:pPr>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至少需包括(不限于)以下内容</w:t>
      </w:r>
    </w:p>
    <w:p w14:paraId="2A09CDBE">
      <w:pPr>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1.满足医院合作模式,提供完整运行流程。</w:t>
      </w:r>
    </w:p>
    <w:p w14:paraId="544BB9EE">
      <w:pPr>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2.质量控制流程。</w:t>
      </w:r>
    </w:p>
    <w:p w14:paraId="6A1AABE4">
      <w:pPr>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3.基于全省实际情况的项目合作拓展能力、区域市场网络规划和实现路径。</w:t>
      </w:r>
    </w:p>
    <w:p w14:paraId="4ED182B1">
      <w:pPr>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4.运营管理能力展示。</w:t>
      </w:r>
    </w:p>
    <w:p w14:paraId="15BFCAA3">
      <w:pPr>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5.与我省产前诊断中心在生育健康领域存续期合作的业绩展示。</w:t>
      </w:r>
    </w:p>
    <w:p w14:paraId="07CA037B">
      <w:pPr>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6.科研学术支持。</w:t>
      </w:r>
    </w:p>
    <w:p w14:paraId="693C5021">
      <w:pPr>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7</w:t>
      </w:r>
      <w:r>
        <w:rPr>
          <w:rFonts w:hint="eastAsia" w:ascii="仿宋_GB2312" w:hAnsi="仿宋_GB2312" w:eastAsia="仿宋_GB2312" w:cs="仿宋_GB2312"/>
          <w:sz w:val="30"/>
          <w:szCs w:val="30"/>
        </w:rPr>
        <w:t>.提供如NIPT项目政府定价发生重大下调变化（下调幅度超过10%则视为重大下调变化）情</w:t>
      </w:r>
      <w:bookmarkStart w:id="1" w:name="OLE_LINK1"/>
      <w:r>
        <w:rPr>
          <w:rFonts w:hint="eastAsia" w:ascii="仿宋_GB2312" w:hAnsi="仿宋_GB2312" w:eastAsia="仿宋_GB2312" w:cs="仿宋_GB2312"/>
          <w:sz w:val="30"/>
          <w:szCs w:val="30"/>
        </w:rPr>
        <w:t>形下的响应</w:t>
      </w:r>
      <w:bookmarkEnd w:id="1"/>
      <w:r>
        <w:rPr>
          <w:rFonts w:hint="eastAsia" w:ascii="仿宋_GB2312" w:hAnsi="仿宋_GB2312" w:eastAsia="仿宋_GB2312" w:cs="仿宋_GB2312"/>
          <w:sz w:val="30"/>
          <w:szCs w:val="30"/>
        </w:rPr>
        <w:t>方案。</w:t>
      </w:r>
    </w:p>
    <w:p w14:paraId="31255A3C">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8</w:t>
      </w:r>
      <w:r>
        <w:rPr>
          <w:rFonts w:hint="eastAsia" w:ascii="仿宋_GB2312" w:hAnsi="仿宋_GB2312" w:eastAsia="仿宋_GB2312" w:cs="仿宋_GB2312"/>
          <w:sz w:val="30"/>
          <w:szCs w:val="30"/>
        </w:rPr>
        <w:t>.应急保障措施。</w:t>
      </w:r>
    </w:p>
    <w:p w14:paraId="51191FFF">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9</w:t>
      </w:r>
      <w:r>
        <w:rPr>
          <w:rFonts w:hint="eastAsia" w:ascii="仿宋_GB2312" w:hAnsi="仿宋_GB2312" w:eastAsia="仿宋_GB2312" w:cs="仿宋_GB2312"/>
          <w:sz w:val="30"/>
          <w:szCs w:val="30"/>
        </w:rPr>
        <w:t>.实力与服务能力展示。</w:t>
      </w:r>
    </w:p>
    <w:p w14:paraId="5285EA99">
      <w:pPr>
        <w:rPr>
          <w:rFonts w:ascii="仿宋_GB2312" w:hAnsi="仿宋_GB2312" w:eastAsia="仿宋_GB2312" w:cs="仿宋_GB2312"/>
          <w:sz w:val="30"/>
          <w:szCs w:val="30"/>
        </w:rPr>
      </w:pPr>
    </w:p>
    <w:p w14:paraId="470DB8B3">
      <w:pPr>
        <w:rPr>
          <w:rFonts w:ascii="仿宋_GB2312" w:hAnsi="仿宋_GB2312" w:eastAsia="仿宋_GB2312" w:cs="仿宋_GB2312"/>
          <w:color w:val="FF0000"/>
          <w:sz w:val="30"/>
          <w:szCs w:val="30"/>
        </w:rPr>
      </w:pPr>
    </w:p>
    <w:p w14:paraId="72E52B52">
      <w:pPr>
        <w:rPr>
          <w:rFonts w:ascii="仿宋_GB2312" w:hAnsi="仿宋_GB2312" w:eastAsia="仿宋_GB2312" w:cs="仿宋_GB2312"/>
          <w:sz w:val="30"/>
          <w:szCs w:val="30"/>
        </w:rPr>
      </w:pPr>
    </w:p>
    <w:p w14:paraId="37CAB722">
      <w:pPr>
        <w:rPr>
          <w:rFonts w:ascii="仿宋_GB2312" w:hAnsi="仿宋_GB2312" w:eastAsia="仿宋_GB2312" w:cs="仿宋_GB2312"/>
          <w:sz w:val="30"/>
          <w:szCs w:val="30"/>
        </w:rPr>
      </w:pPr>
    </w:p>
    <w:p w14:paraId="25BAA537">
      <w:pPr>
        <w:rPr>
          <w:rFonts w:ascii="仿宋_GB2312" w:hAnsi="仿宋_GB2312" w:eastAsia="仿宋_GB2312" w:cs="仿宋_GB2312"/>
          <w:sz w:val="30"/>
          <w:szCs w:val="30"/>
        </w:rPr>
      </w:pPr>
    </w:p>
    <w:p w14:paraId="5ACC346E">
      <w:pPr>
        <w:rPr>
          <w:rFonts w:ascii="仿宋_GB2312" w:hAnsi="仿宋_GB2312" w:eastAsia="仿宋_GB2312" w:cs="仿宋_GB2312"/>
          <w:sz w:val="30"/>
          <w:szCs w:val="30"/>
        </w:rPr>
      </w:pPr>
    </w:p>
    <w:p w14:paraId="0D6A3461">
      <w:pPr>
        <w:pStyle w:val="2"/>
      </w:pPr>
    </w:p>
    <w:p w14:paraId="7A1637D2">
      <w:pPr>
        <w:outlineLvl w:val="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eastAsia="zh-CN"/>
        </w:rPr>
        <w:t>附件</w:t>
      </w:r>
      <w:r>
        <w:rPr>
          <w:rFonts w:hint="eastAsia" w:ascii="仿宋_GB2312" w:hAnsi="仿宋_GB2312" w:eastAsia="仿宋_GB2312" w:cs="仿宋_GB2312"/>
          <w:sz w:val="30"/>
          <w:szCs w:val="30"/>
          <w:lang w:val="en-US" w:eastAsia="zh-CN"/>
        </w:rPr>
        <w:t>3：</w:t>
      </w:r>
    </w:p>
    <w:p w14:paraId="1E83F8E3">
      <w:pPr>
        <w:jc w:val="center"/>
        <w:outlineLvl w:val="9"/>
        <w:rPr>
          <w:rFonts w:hint="default"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报价表</w:t>
      </w:r>
    </w:p>
    <w:tbl>
      <w:tblPr>
        <w:tblStyle w:val="6"/>
        <w:tblpPr w:leftFromText="180" w:rightFromText="180" w:vertAnchor="text" w:horzAnchor="page" w:tblpX="1460" w:tblpY="224"/>
        <w:tblOverlap w:val="never"/>
        <w:tblW w:w="8453" w:type="dxa"/>
        <w:tblInd w:w="0" w:type="dxa"/>
        <w:tblLayout w:type="fixed"/>
        <w:tblCellMar>
          <w:top w:w="0" w:type="dxa"/>
          <w:left w:w="10" w:type="dxa"/>
          <w:bottom w:w="0" w:type="dxa"/>
          <w:right w:w="10" w:type="dxa"/>
        </w:tblCellMar>
      </w:tblPr>
      <w:tblGrid>
        <w:gridCol w:w="1960"/>
        <w:gridCol w:w="3912"/>
        <w:gridCol w:w="765"/>
        <w:gridCol w:w="1816"/>
      </w:tblGrid>
      <w:tr w14:paraId="3B86D51D">
        <w:tblPrEx>
          <w:tblCellMar>
            <w:top w:w="0" w:type="dxa"/>
            <w:left w:w="10" w:type="dxa"/>
            <w:bottom w:w="0" w:type="dxa"/>
            <w:right w:w="10" w:type="dxa"/>
          </w:tblCellMar>
        </w:tblPrEx>
        <w:trPr>
          <w:trHeight w:val="545" w:hRule="atLeast"/>
        </w:trPr>
        <w:tc>
          <w:tcPr>
            <w:tcW w:w="1960" w:type="dxa"/>
            <w:tcBorders>
              <w:top w:val="single" w:color="000000" w:sz="8" w:space="0"/>
              <w:left w:val="single" w:color="000000" w:sz="0" w:space="0"/>
              <w:bottom w:val="single" w:color="000000" w:sz="8" w:space="0"/>
              <w:right w:val="single" w:color="000000" w:sz="8" w:space="0"/>
            </w:tcBorders>
            <w:shd w:val="clear" w:color="000000" w:fill="FFFFFF"/>
            <w:tcMar>
              <w:left w:w="108" w:type="dxa"/>
              <w:right w:w="108" w:type="dxa"/>
            </w:tcMar>
            <w:vAlign w:val="center"/>
          </w:tcPr>
          <w:p w14:paraId="34700022">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项目</w:t>
            </w:r>
          </w:p>
        </w:tc>
        <w:tc>
          <w:tcPr>
            <w:tcW w:w="3912" w:type="dxa"/>
            <w:tcBorders>
              <w:top w:val="single" w:color="000000" w:sz="8" w:space="0"/>
              <w:left w:val="single" w:color="000000" w:sz="0" w:space="0"/>
              <w:bottom w:val="single" w:color="000000" w:sz="8" w:space="0"/>
              <w:right w:val="single" w:color="000000" w:sz="8" w:space="0"/>
            </w:tcBorders>
            <w:shd w:val="clear" w:color="000000" w:fill="FFFFFF"/>
            <w:tcMar>
              <w:left w:w="108" w:type="dxa"/>
              <w:right w:w="108" w:type="dxa"/>
            </w:tcMar>
            <w:vAlign w:val="center"/>
          </w:tcPr>
          <w:p w14:paraId="7BBFAA74">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报价</w:t>
            </w:r>
          </w:p>
        </w:tc>
        <w:tc>
          <w:tcPr>
            <w:tcW w:w="765" w:type="dxa"/>
            <w:tcBorders>
              <w:top w:val="single" w:color="000000" w:sz="8" w:space="0"/>
              <w:left w:val="single" w:color="000000" w:sz="0" w:space="0"/>
              <w:bottom w:val="single" w:color="000000" w:sz="8" w:space="0"/>
              <w:right w:val="single" w:color="000000" w:sz="8" w:space="0"/>
            </w:tcBorders>
            <w:shd w:val="clear" w:color="000000" w:fill="FFFFFF"/>
            <w:tcMar>
              <w:left w:w="108" w:type="dxa"/>
              <w:right w:w="108" w:type="dxa"/>
            </w:tcMar>
            <w:vAlign w:val="center"/>
          </w:tcPr>
          <w:p w14:paraId="04AFADCA">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合作期限</w:t>
            </w:r>
          </w:p>
        </w:tc>
        <w:tc>
          <w:tcPr>
            <w:tcW w:w="1816" w:type="dxa"/>
            <w:tcBorders>
              <w:top w:val="single" w:color="000000" w:sz="8" w:space="0"/>
              <w:left w:val="single" w:color="000000" w:sz="0" w:space="0"/>
              <w:bottom w:val="single" w:color="000000" w:sz="8" w:space="0"/>
              <w:right w:val="single" w:color="000000" w:sz="8" w:space="0"/>
            </w:tcBorders>
            <w:shd w:val="clear" w:color="000000" w:fill="FFFFFF"/>
            <w:tcMar>
              <w:left w:w="108" w:type="dxa"/>
              <w:right w:w="108" w:type="dxa"/>
            </w:tcMar>
            <w:vAlign w:val="center"/>
          </w:tcPr>
          <w:p w14:paraId="11326B51">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sz w:val="28"/>
                <w:szCs w:val="28"/>
                <w:highlight w:val="none"/>
                <w:lang w:eastAsia="zh-CN"/>
              </w:rPr>
              <w:t>检测周期</w:t>
            </w:r>
          </w:p>
        </w:tc>
      </w:tr>
      <w:tr w14:paraId="12712806">
        <w:tblPrEx>
          <w:tblCellMar>
            <w:top w:w="0" w:type="dxa"/>
            <w:left w:w="10" w:type="dxa"/>
            <w:bottom w:w="0" w:type="dxa"/>
            <w:right w:w="10" w:type="dxa"/>
          </w:tblCellMar>
        </w:tblPrEx>
        <w:trPr>
          <w:trHeight w:val="2780" w:hRule="atLeast"/>
        </w:trPr>
        <w:tc>
          <w:tcPr>
            <w:tcW w:w="1960" w:type="dxa"/>
            <w:vMerge w:val="restart"/>
            <w:tcBorders>
              <w:top w:val="single" w:color="000000" w:sz="0" w:space="0"/>
              <w:left w:val="single" w:color="000000" w:sz="0" w:space="0"/>
              <w:right w:val="single" w:color="000000" w:sz="8" w:space="0"/>
            </w:tcBorders>
            <w:shd w:val="clear" w:color="000000" w:fill="FFFFFF"/>
            <w:tcMar>
              <w:left w:w="108" w:type="dxa"/>
              <w:right w:w="108" w:type="dxa"/>
            </w:tcMar>
            <w:vAlign w:val="center"/>
          </w:tcPr>
          <w:p w14:paraId="381793E1">
            <w:pPr>
              <w:jc w:val="left"/>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rPr>
              <w:t>孕妇外周血胎儿游离DNA（T21、T18、T13）检测项目院外合作医院体系综合服务</w:t>
            </w:r>
          </w:p>
        </w:tc>
        <w:tc>
          <w:tcPr>
            <w:tcW w:w="3912" w:type="dxa"/>
            <w:tcBorders>
              <w:top w:val="single" w:color="000000" w:sz="0" w:space="0"/>
              <w:left w:val="single" w:color="000000" w:sz="0" w:space="0"/>
              <w:bottom w:val="single" w:color="auto" w:sz="4" w:space="0"/>
              <w:right w:val="single" w:color="000000" w:sz="8" w:space="0"/>
            </w:tcBorders>
            <w:shd w:val="clear" w:color="000000" w:fill="FFFFFF"/>
            <w:tcMar>
              <w:left w:w="108" w:type="dxa"/>
              <w:right w:w="108" w:type="dxa"/>
            </w:tcMar>
            <w:vAlign w:val="center"/>
          </w:tcPr>
          <w:p w14:paraId="17C0B634">
            <w:pPr>
              <w:jc w:val="left"/>
              <w:rPr>
                <w:rFonts w:hint="default"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lang w:val="en-US" w:eastAsia="zh-CN"/>
              </w:rPr>
              <w:t>1.</w:t>
            </w:r>
            <w:r>
              <w:rPr>
                <w:rFonts w:hint="eastAsia" w:ascii="仿宋_GB2312" w:hAnsi="仿宋_GB2312" w:eastAsia="仿宋_GB2312" w:cs="仿宋_GB2312"/>
                <w:color w:val="000000"/>
                <w:sz w:val="24"/>
                <w:szCs w:val="24"/>
                <w:highlight w:val="none"/>
              </w:rPr>
              <w:t>院外产诊产筛医院模式</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我院</w:t>
            </w:r>
            <w:r>
              <w:rPr>
                <w:rFonts w:hint="eastAsia" w:ascii="仿宋_GB2312" w:hAnsi="仿宋_GB2312" w:eastAsia="仿宋_GB2312" w:cs="仿宋_GB2312"/>
                <w:color w:val="000000"/>
                <w:sz w:val="24"/>
                <w:szCs w:val="24"/>
                <w:highlight w:val="none"/>
                <w:lang w:eastAsia="zh-CN"/>
              </w:rPr>
              <w:t>每例</w:t>
            </w:r>
            <w:r>
              <w:rPr>
                <w:rFonts w:hint="eastAsia" w:ascii="仿宋_GB2312" w:hAnsi="仿宋_GB2312" w:eastAsia="仿宋_GB2312" w:cs="仿宋_GB2312"/>
                <w:color w:val="000000"/>
                <w:sz w:val="24"/>
                <w:szCs w:val="24"/>
                <w:highlight w:val="none"/>
              </w:rPr>
              <w:t>收益</w:t>
            </w:r>
            <w:r>
              <w:rPr>
                <w:rFonts w:hint="eastAsia" w:ascii="仿宋_GB2312" w:hAnsi="仿宋_GB2312" w:eastAsia="仿宋_GB2312" w:cs="仿宋_GB2312"/>
                <w:color w:val="000000"/>
                <w:sz w:val="24"/>
                <w:szCs w:val="24"/>
                <w:highlight w:val="none"/>
                <w:lang w:eastAsia="zh-CN"/>
              </w:rPr>
              <w:t>占</w:t>
            </w:r>
            <w:r>
              <w:rPr>
                <w:rFonts w:hint="eastAsia" w:ascii="仿宋_GB2312" w:hAnsi="仿宋_GB2312" w:eastAsia="仿宋_GB2312" w:cs="仿宋_GB2312"/>
                <w:color w:val="000000"/>
                <w:sz w:val="24"/>
                <w:szCs w:val="24"/>
                <w:highlight w:val="none"/>
              </w:rPr>
              <w:t>四川省各地物价收费标准</w:t>
            </w:r>
            <w:r>
              <w:rPr>
                <w:rFonts w:hint="eastAsia" w:ascii="仿宋_GB2312" w:hAnsi="仿宋_GB2312" w:eastAsia="仿宋_GB2312" w:cs="仿宋_GB2312"/>
                <w:color w:val="000000"/>
                <w:sz w:val="24"/>
                <w:szCs w:val="24"/>
                <w:highlight w:val="none"/>
                <w:lang w:eastAsia="zh-CN"/>
              </w:rPr>
              <w:t>的比例为</w:t>
            </w:r>
            <w:r>
              <w:rPr>
                <w:rFonts w:hint="eastAsia" w:ascii="仿宋_GB2312" w:hAnsi="仿宋_GB2312" w:eastAsia="仿宋_GB2312" w:cs="仿宋_GB2312"/>
                <w:color w:val="000000"/>
                <w:sz w:val="24"/>
                <w:szCs w:val="24"/>
                <w:highlight w:val="none"/>
                <w:u w:val="single"/>
                <w:lang w:val="en-US" w:eastAsia="zh-CN"/>
              </w:rPr>
              <w:t xml:space="preserve">             %</w:t>
            </w:r>
          </w:p>
          <w:p w14:paraId="653844B1">
            <w:pPr>
              <w:ind w:firstLine="840" w:firstLineChars="300"/>
              <w:jc w:val="left"/>
              <w:rPr>
                <w:rFonts w:hint="eastAsia" w:ascii="仿宋" w:hAnsi="仿宋" w:eastAsia="仿宋" w:cs="仿宋"/>
                <w:b w:val="0"/>
                <w:bCs w:val="0"/>
                <w:sz w:val="28"/>
                <w:szCs w:val="28"/>
                <w:highlight w:val="none"/>
                <w:lang w:eastAsia="zh-CN"/>
              </w:rPr>
            </w:pPr>
          </w:p>
        </w:tc>
        <w:tc>
          <w:tcPr>
            <w:tcW w:w="765" w:type="dxa"/>
            <w:vMerge w:val="restart"/>
            <w:tcBorders>
              <w:top w:val="single" w:color="000000" w:sz="0" w:space="0"/>
              <w:left w:val="single" w:color="000000" w:sz="0" w:space="0"/>
              <w:right w:val="single" w:color="000000" w:sz="8" w:space="0"/>
            </w:tcBorders>
            <w:shd w:val="clear" w:color="000000" w:fill="FFFFFF"/>
            <w:tcMar>
              <w:left w:w="108" w:type="dxa"/>
              <w:right w:w="108" w:type="dxa"/>
            </w:tcMar>
            <w:vAlign w:val="center"/>
          </w:tcPr>
          <w:p w14:paraId="6DE013B1">
            <w:pPr>
              <w:ind w:firstLine="0" w:firstLineChars="0"/>
              <w:jc w:val="center"/>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1年</w:t>
            </w:r>
          </w:p>
        </w:tc>
        <w:tc>
          <w:tcPr>
            <w:tcW w:w="1816" w:type="dxa"/>
            <w:vMerge w:val="restart"/>
            <w:tcBorders>
              <w:top w:val="single" w:color="000000" w:sz="0" w:space="0"/>
              <w:left w:val="single" w:color="000000" w:sz="0" w:space="0"/>
              <w:right w:val="single" w:color="000000" w:sz="8" w:space="0"/>
            </w:tcBorders>
            <w:shd w:val="clear" w:color="000000" w:fill="FFFFFF"/>
            <w:tcMar>
              <w:left w:w="108" w:type="dxa"/>
              <w:right w:w="108" w:type="dxa"/>
            </w:tcMar>
            <w:vAlign w:val="center"/>
          </w:tcPr>
          <w:p w14:paraId="33400643">
            <w:pPr>
              <w:jc w:val="left"/>
              <w:rPr>
                <w:rFonts w:hint="eastAsia" w:ascii="仿宋" w:hAnsi="仿宋" w:eastAsia="仿宋" w:cs="仿宋"/>
                <w:b/>
                <w:bCs/>
                <w:kern w:val="2"/>
                <w:sz w:val="28"/>
                <w:szCs w:val="28"/>
                <w:highlight w:val="none"/>
                <w:lang w:val="en-US" w:eastAsia="zh-CN" w:bidi="ar-SA"/>
              </w:rPr>
            </w:pPr>
            <w:r>
              <w:rPr>
                <w:rFonts w:hint="eastAsia" w:ascii="仿宋_GB2312" w:hAnsi="仿宋_GB2312" w:eastAsia="仿宋_GB2312" w:cs="仿宋_GB2312"/>
                <w:color w:val="000000"/>
                <w:sz w:val="24"/>
                <w:szCs w:val="24"/>
                <w:highlight w:val="none"/>
              </w:rPr>
              <w:t>&lt; 15个工作日</w:t>
            </w:r>
          </w:p>
        </w:tc>
      </w:tr>
      <w:tr w14:paraId="5D9855DC">
        <w:tblPrEx>
          <w:tblCellMar>
            <w:top w:w="0" w:type="dxa"/>
            <w:left w:w="10" w:type="dxa"/>
            <w:bottom w:w="0" w:type="dxa"/>
            <w:right w:w="10" w:type="dxa"/>
          </w:tblCellMar>
        </w:tblPrEx>
        <w:trPr>
          <w:trHeight w:val="2795" w:hRule="atLeast"/>
        </w:trPr>
        <w:tc>
          <w:tcPr>
            <w:tcW w:w="1960" w:type="dxa"/>
            <w:vMerge w:val="continue"/>
            <w:tcBorders>
              <w:left w:val="single" w:color="000000" w:sz="0" w:space="0"/>
              <w:bottom w:val="single" w:color="000000" w:sz="8" w:space="0"/>
              <w:right w:val="single" w:color="000000" w:sz="8" w:space="0"/>
            </w:tcBorders>
            <w:shd w:val="clear" w:color="000000" w:fill="FFFFFF"/>
            <w:tcMar>
              <w:left w:w="108" w:type="dxa"/>
              <w:right w:w="108" w:type="dxa"/>
            </w:tcMar>
            <w:vAlign w:val="center"/>
          </w:tcPr>
          <w:p w14:paraId="31DD4DEF">
            <w:pPr>
              <w:jc w:val="left"/>
              <w:rPr>
                <w:rFonts w:hint="eastAsia" w:ascii="仿宋_GB2312" w:hAnsi="仿宋_GB2312" w:eastAsia="仿宋_GB2312" w:cs="仿宋_GB2312"/>
                <w:color w:val="000000"/>
                <w:sz w:val="24"/>
                <w:szCs w:val="24"/>
                <w:highlight w:val="none"/>
                <w:lang w:val="en-US" w:eastAsia="zh-CN"/>
              </w:rPr>
            </w:pPr>
          </w:p>
        </w:tc>
        <w:tc>
          <w:tcPr>
            <w:tcW w:w="3912" w:type="dxa"/>
            <w:tcBorders>
              <w:top w:val="single" w:color="auto" w:sz="4" w:space="0"/>
              <w:left w:val="single" w:color="000000" w:sz="0" w:space="0"/>
              <w:bottom w:val="single" w:color="000000" w:sz="8" w:space="0"/>
              <w:right w:val="single" w:color="000000" w:sz="8" w:space="0"/>
            </w:tcBorders>
            <w:shd w:val="clear" w:color="000000" w:fill="FFFFFF"/>
            <w:tcMar>
              <w:left w:w="108" w:type="dxa"/>
              <w:right w:w="108" w:type="dxa"/>
            </w:tcMar>
            <w:vAlign w:val="center"/>
          </w:tcPr>
          <w:p w14:paraId="3BE5EA7D">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2.</w:t>
            </w:r>
            <w:r>
              <w:rPr>
                <w:rFonts w:hint="eastAsia" w:ascii="仿宋_GB2312" w:hAnsi="仿宋_GB2312" w:eastAsia="仿宋_GB2312" w:cs="仿宋_GB2312"/>
                <w:color w:val="000000"/>
                <w:sz w:val="24"/>
                <w:szCs w:val="24"/>
                <w:highlight w:val="none"/>
              </w:rPr>
              <w:t>院外非资质医院转诊模式</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我院</w:t>
            </w:r>
            <w:r>
              <w:rPr>
                <w:rFonts w:hint="eastAsia" w:ascii="仿宋_GB2312" w:hAnsi="仿宋_GB2312" w:eastAsia="仿宋_GB2312" w:cs="仿宋_GB2312"/>
                <w:color w:val="000000"/>
                <w:sz w:val="24"/>
                <w:szCs w:val="24"/>
                <w:highlight w:val="none"/>
                <w:lang w:eastAsia="zh-CN"/>
              </w:rPr>
              <w:t>每例</w:t>
            </w:r>
            <w:r>
              <w:rPr>
                <w:rFonts w:hint="eastAsia" w:ascii="仿宋_GB2312" w:hAnsi="仿宋_GB2312" w:eastAsia="仿宋_GB2312" w:cs="仿宋_GB2312"/>
                <w:color w:val="000000"/>
                <w:sz w:val="24"/>
                <w:szCs w:val="24"/>
                <w:highlight w:val="none"/>
              </w:rPr>
              <w:t>收益</w:t>
            </w:r>
            <w:r>
              <w:rPr>
                <w:rFonts w:hint="eastAsia" w:ascii="仿宋_GB2312" w:hAnsi="仿宋_GB2312" w:eastAsia="仿宋_GB2312" w:cs="仿宋_GB2312"/>
                <w:color w:val="000000"/>
                <w:sz w:val="24"/>
                <w:szCs w:val="24"/>
                <w:highlight w:val="none"/>
                <w:lang w:eastAsia="zh-CN"/>
              </w:rPr>
              <w:t>占</w:t>
            </w:r>
            <w:r>
              <w:rPr>
                <w:rFonts w:hint="eastAsia" w:ascii="仿宋_GB2312" w:hAnsi="仿宋_GB2312" w:eastAsia="仿宋_GB2312" w:cs="仿宋_GB2312"/>
                <w:color w:val="000000"/>
                <w:sz w:val="24"/>
                <w:szCs w:val="24"/>
                <w:highlight w:val="none"/>
              </w:rPr>
              <w:t>四川省三甲医院物价收费标准</w:t>
            </w:r>
            <w:r>
              <w:rPr>
                <w:rFonts w:hint="eastAsia" w:ascii="仿宋_GB2312" w:hAnsi="仿宋_GB2312" w:eastAsia="仿宋_GB2312" w:cs="仿宋_GB2312"/>
                <w:color w:val="000000"/>
                <w:sz w:val="24"/>
                <w:szCs w:val="24"/>
                <w:highlight w:val="none"/>
                <w:lang w:eastAsia="zh-CN"/>
              </w:rPr>
              <w:t>的比例为</w:t>
            </w:r>
            <w:r>
              <w:rPr>
                <w:rFonts w:hint="eastAsia" w:ascii="仿宋_GB2312" w:hAnsi="仿宋_GB2312" w:eastAsia="仿宋_GB2312" w:cs="仿宋_GB2312"/>
                <w:color w:val="000000"/>
                <w:sz w:val="24"/>
                <w:szCs w:val="24"/>
                <w:highlight w:val="none"/>
                <w:u w:val="single"/>
                <w:lang w:val="en-US" w:eastAsia="zh-CN"/>
              </w:rPr>
              <w:t xml:space="preserve">            %</w:t>
            </w:r>
          </w:p>
          <w:p w14:paraId="32389C21">
            <w:pPr>
              <w:ind w:firstLine="1120" w:firstLineChars="400"/>
              <w:jc w:val="left"/>
              <w:rPr>
                <w:rFonts w:hint="eastAsia" w:ascii="仿宋" w:hAnsi="仿宋" w:eastAsia="仿宋" w:cs="仿宋"/>
                <w:color w:val="000000"/>
                <w:sz w:val="28"/>
                <w:szCs w:val="28"/>
                <w:highlight w:val="none"/>
              </w:rPr>
            </w:pPr>
          </w:p>
        </w:tc>
        <w:tc>
          <w:tcPr>
            <w:tcW w:w="765" w:type="dxa"/>
            <w:vMerge w:val="continue"/>
            <w:tcBorders>
              <w:left w:val="single" w:color="000000" w:sz="0" w:space="0"/>
              <w:bottom w:val="single" w:color="000000" w:sz="8" w:space="0"/>
              <w:right w:val="single" w:color="000000" w:sz="8" w:space="0"/>
            </w:tcBorders>
            <w:shd w:val="clear" w:color="000000" w:fill="FFFFFF"/>
            <w:tcMar>
              <w:left w:w="108" w:type="dxa"/>
              <w:right w:w="108" w:type="dxa"/>
            </w:tcMar>
            <w:vAlign w:val="center"/>
          </w:tcPr>
          <w:p w14:paraId="091B4159">
            <w:pPr>
              <w:ind w:firstLine="1120" w:firstLineChars="400"/>
              <w:jc w:val="left"/>
              <w:rPr>
                <w:rFonts w:hint="eastAsia" w:ascii="仿宋" w:hAnsi="仿宋" w:eastAsia="仿宋" w:cs="仿宋"/>
                <w:color w:val="000000"/>
                <w:sz w:val="28"/>
                <w:szCs w:val="28"/>
                <w:highlight w:val="none"/>
              </w:rPr>
            </w:pPr>
          </w:p>
        </w:tc>
        <w:tc>
          <w:tcPr>
            <w:tcW w:w="1816" w:type="dxa"/>
            <w:vMerge w:val="continue"/>
            <w:tcBorders>
              <w:left w:val="single" w:color="000000" w:sz="0" w:space="0"/>
              <w:bottom w:val="single" w:color="000000" w:sz="8" w:space="0"/>
              <w:right w:val="single" w:color="000000" w:sz="8" w:space="0"/>
            </w:tcBorders>
            <w:shd w:val="clear" w:color="000000" w:fill="FFFFFF"/>
            <w:tcMar>
              <w:left w:w="108" w:type="dxa"/>
              <w:right w:w="108" w:type="dxa"/>
            </w:tcMar>
            <w:vAlign w:val="center"/>
          </w:tcPr>
          <w:p w14:paraId="222603E2">
            <w:pPr>
              <w:jc w:val="left"/>
              <w:rPr>
                <w:rFonts w:hint="eastAsia" w:ascii="仿宋" w:hAnsi="仿宋" w:eastAsia="仿宋" w:cs="仿宋"/>
                <w:color w:val="000000"/>
                <w:sz w:val="28"/>
                <w:szCs w:val="28"/>
                <w:highlight w:val="none"/>
              </w:rPr>
            </w:pPr>
          </w:p>
        </w:tc>
      </w:tr>
    </w:tbl>
    <w:p w14:paraId="6FFFE976">
      <w:pPr>
        <w:spacing w:line="240" w:lineRule="auto"/>
        <w:ind w:firstLine="0" w:firstLineChars="0"/>
        <w:jc w:val="left"/>
        <w:rPr>
          <w:rFonts w:hint="eastAsia"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备注：</w:t>
      </w:r>
    </w:p>
    <w:p w14:paraId="44C80A51">
      <w:pPr>
        <w:spacing w:line="240" w:lineRule="auto"/>
        <w:ind w:firstLine="0" w:firstLineChars="0"/>
        <w:jc w:val="left"/>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eastAsia="zh-CN"/>
        </w:rPr>
        <w:t>1</w:t>
      </w:r>
      <w:r>
        <w:rPr>
          <w:rFonts w:hint="eastAsia" w:ascii="仿宋_GB2312" w:hAnsi="仿宋_GB2312" w:eastAsia="仿宋_GB2312" w:cs="仿宋_GB2312"/>
          <w:color w:val="000000"/>
          <w:sz w:val="24"/>
          <w:szCs w:val="24"/>
          <w:highlight w:val="none"/>
          <w:lang w:val="en-US" w:eastAsia="zh-CN"/>
        </w:rPr>
        <w:t>.</w:t>
      </w:r>
      <w:r>
        <w:rPr>
          <w:rFonts w:hint="eastAsia" w:ascii="仿宋_GB2312" w:hAnsi="仿宋_GB2312" w:eastAsia="仿宋_GB2312" w:cs="仿宋_GB2312"/>
          <w:color w:val="000000"/>
          <w:sz w:val="24"/>
          <w:szCs w:val="24"/>
          <w:highlight w:val="none"/>
        </w:rPr>
        <w:t>院外产诊产筛医院模式</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我院在本项目合作下的每一例收益分配不低于本项目在四川省各地物价收费标准的</w:t>
      </w:r>
      <w:r>
        <w:rPr>
          <w:rFonts w:hint="eastAsia" w:ascii="仿宋_GB2312" w:hAnsi="仿宋_GB2312" w:eastAsia="仿宋_GB2312" w:cs="仿宋_GB2312"/>
          <w:color w:val="000000"/>
          <w:sz w:val="24"/>
          <w:szCs w:val="24"/>
          <w:highlight w:val="none"/>
          <w:lang w:eastAsia="zh-CN"/>
        </w:rPr>
        <w:t>2</w:t>
      </w:r>
      <w:r>
        <w:rPr>
          <w:rFonts w:hint="eastAsia" w:ascii="仿宋_GB2312" w:hAnsi="仿宋_GB2312" w:eastAsia="仿宋_GB2312" w:cs="仿宋_GB2312"/>
          <w:color w:val="000000"/>
          <w:sz w:val="24"/>
          <w:szCs w:val="24"/>
          <w:highlight w:val="none"/>
          <w:lang w:val="en-US" w:eastAsia="zh-CN"/>
        </w:rPr>
        <w:t>0</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lang w:val="en-US" w:eastAsia="zh-CN"/>
        </w:rPr>
        <w:t>如果按上述计算的收益分配低于300元每例的，则</w:t>
      </w:r>
      <w:r>
        <w:rPr>
          <w:rFonts w:hint="eastAsia" w:ascii="仿宋_GB2312" w:hAnsi="仿宋_GB2312" w:eastAsia="仿宋_GB2312" w:cs="仿宋_GB2312"/>
          <w:color w:val="000000"/>
          <w:sz w:val="24"/>
          <w:szCs w:val="24"/>
          <w:highlight w:val="none"/>
          <w:lang w:eastAsia="zh-CN"/>
        </w:rPr>
        <w:t>我院每一例收益</w:t>
      </w:r>
      <w:r>
        <w:rPr>
          <w:rFonts w:hint="eastAsia" w:ascii="仿宋_GB2312" w:hAnsi="仿宋_GB2312" w:eastAsia="仿宋_GB2312" w:cs="仿宋_GB2312"/>
          <w:color w:val="000000"/>
          <w:sz w:val="24"/>
          <w:szCs w:val="24"/>
          <w:highlight w:val="none"/>
          <w:lang w:val="en-US" w:eastAsia="zh-CN"/>
        </w:rPr>
        <w:t>分配均为300元。</w:t>
      </w:r>
    </w:p>
    <w:p w14:paraId="0A6DC375">
      <w:pPr>
        <w:spacing w:line="240" w:lineRule="auto"/>
        <w:ind w:firstLine="0" w:firstLineChars="0"/>
        <w:jc w:val="left"/>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val="en-US" w:eastAsia="zh-CN"/>
        </w:rPr>
        <w:t>2.</w:t>
      </w:r>
      <w:r>
        <w:rPr>
          <w:rFonts w:hint="eastAsia" w:ascii="仿宋_GB2312" w:hAnsi="仿宋_GB2312" w:eastAsia="仿宋_GB2312" w:cs="仿宋_GB2312"/>
          <w:color w:val="000000"/>
          <w:sz w:val="24"/>
          <w:szCs w:val="24"/>
          <w:highlight w:val="none"/>
        </w:rPr>
        <w:t>院外非资质医院转诊模式</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我院在本项目合作下的每一例收益分配不低于四川省三甲医院物价收费标准的3</w:t>
      </w:r>
      <w:r>
        <w:rPr>
          <w:rFonts w:hint="eastAsia" w:ascii="仿宋_GB2312" w:hAnsi="仿宋_GB2312" w:eastAsia="仿宋_GB2312" w:cs="仿宋_GB2312"/>
          <w:color w:val="000000"/>
          <w:sz w:val="24"/>
          <w:szCs w:val="24"/>
          <w:highlight w:val="none"/>
          <w:lang w:val="en-US" w:eastAsia="zh-CN"/>
        </w:rPr>
        <w:t>5</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eastAsia="zh-CN"/>
        </w:rPr>
        <w:t>。</w:t>
      </w:r>
    </w:p>
    <w:p w14:paraId="10A8FC45">
      <w:pPr>
        <w:spacing w:line="240" w:lineRule="auto"/>
        <w:ind w:firstLine="0" w:firstLineChars="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eastAsia="zh-CN"/>
        </w:rPr>
        <w:t>3</w:t>
      </w:r>
      <w:r>
        <w:rPr>
          <w:rFonts w:hint="eastAsia" w:ascii="仿宋_GB2312" w:hAnsi="仿宋_GB2312" w:eastAsia="仿宋_GB2312" w:cs="仿宋_GB2312"/>
          <w:color w:val="000000"/>
          <w:sz w:val="24"/>
          <w:szCs w:val="24"/>
          <w:highlight w:val="none"/>
          <w:lang w:val="en-US" w:eastAsia="zh-CN"/>
        </w:rPr>
        <w:t>.</w:t>
      </w:r>
      <w:r>
        <w:rPr>
          <w:rFonts w:hint="eastAsia" w:ascii="仿宋_GB2312" w:hAnsi="仿宋_GB2312" w:eastAsia="仿宋_GB2312" w:cs="仿宋_GB2312"/>
          <w:color w:val="000000"/>
          <w:sz w:val="24"/>
          <w:szCs w:val="24"/>
          <w:highlight w:val="none"/>
          <w:lang w:eastAsia="zh-CN"/>
        </w:rPr>
        <w:t>上述报价</w:t>
      </w:r>
      <w:r>
        <w:rPr>
          <w:rFonts w:hint="eastAsia" w:ascii="仿宋_GB2312" w:hAnsi="仿宋_GB2312" w:eastAsia="仿宋_GB2312" w:cs="仿宋_GB2312"/>
          <w:color w:val="000000"/>
          <w:sz w:val="24"/>
          <w:szCs w:val="24"/>
          <w:highlight w:val="none"/>
        </w:rPr>
        <w:t>要求</w:t>
      </w:r>
      <w:r>
        <w:rPr>
          <w:rFonts w:hint="eastAsia" w:ascii="仿宋_GB2312" w:hAnsi="仿宋_GB2312" w:eastAsia="仿宋_GB2312" w:cs="仿宋_GB2312"/>
          <w:color w:val="000000"/>
          <w:sz w:val="24"/>
          <w:szCs w:val="24"/>
          <w:highlight w:val="none"/>
          <w:lang w:eastAsia="zh-CN"/>
        </w:rPr>
        <w:t>属于</w:t>
      </w:r>
      <w:r>
        <w:rPr>
          <w:rFonts w:hint="eastAsia" w:ascii="仿宋_GB2312" w:hAnsi="仿宋_GB2312" w:eastAsia="仿宋_GB2312" w:cs="仿宋_GB2312"/>
          <w:color w:val="000000"/>
          <w:sz w:val="24"/>
          <w:szCs w:val="24"/>
          <w:highlight w:val="none"/>
        </w:rPr>
        <w:t>实质性响应条款，低于此限价将被列为无效参选单位。</w:t>
      </w:r>
    </w:p>
    <w:p w14:paraId="41E4F3A3">
      <w:pPr>
        <w:spacing w:line="240" w:lineRule="auto"/>
        <w:ind w:firstLine="0" w:firstLineChars="0"/>
        <w:jc w:val="left"/>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rPr>
        <w:t>为防止恶意竞争，参选单位的报价不得高于所有参选单位报价平均价30%（含）以上，否则会因存在不能完全达到我院合作目的和要求的可能而被列为无效参选单位。</w:t>
      </w:r>
    </w:p>
    <w:p w14:paraId="1CE9F92E">
      <w:pPr>
        <w:spacing w:line="240" w:lineRule="auto"/>
        <w:ind w:firstLine="0" w:firstLineChars="0"/>
        <w:jc w:val="left"/>
        <w:rPr>
          <w:rFonts w:hint="eastAsia" w:ascii="仿宋_GB2312" w:hAnsi="仿宋_GB2312" w:eastAsia="仿宋_GB2312" w:cs="仿宋_GB2312"/>
          <w:color w:val="000000"/>
          <w:sz w:val="24"/>
          <w:szCs w:val="24"/>
          <w:highlight w:val="none"/>
        </w:rPr>
      </w:pPr>
    </w:p>
    <w:p w14:paraId="34867500">
      <w:pPr>
        <w:outlineLvl w:val="9"/>
        <w:rPr>
          <w:rFonts w:hint="default" w:ascii="仿宋_GB2312" w:hAnsi="仿宋_GB2312" w:eastAsia="仿宋_GB2312" w:cs="仿宋_GB2312"/>
          <w:sz w:val="30"/>
          <w:szCs w:val="30"/>
          <w:lang w:val="en-US" w:eastAsia="zh-CN"/>
        </w:rPr>
      </w:pPr>
    </w:p>
    <w:p w14:paraId="098DA6C7">
      <w:pPr>
        <w:outlineLvl w:val="9"/>
        <w:rPr>
          <w:rFonts w:hint="default" w:ascii="仿宋_GB2312" w:hAnsi="仿宋_GB2312" w:eastAsia="仿宋_GB2312" w:cs="仿宋_GB2312"/>
          <w:sz w:val="30"/>
          <w:szCs w:val="30"/>
          <w:lang w:val="en-US" w:eastAsia="zh-CN"/>
        </w:rPr>
      </w:pPr>
    </w:p>
    <w:p w14:paraId="57E86CF8">
      <w:pPr>
        <w:pStyle w:val="2"/>
        <w:rPr>
          <w:rFonts w:hint="default"/>
          <w:lang w:val="en-US" w:eastAsia="zh-CN"/>
        </w:rPr>
      </w:pPr>
    </w:p>
    <w:p w14:paraId="4A4F3EFA">
      <w:pPr>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w:t>
      </w:r>
    </w:p>
    <w:p w14:paraId="58EC52BA">
      <w:pPr>
        <w:jc w:val="center"/>
        <w:outlineLvl w:val="9"/>
        <w:rPr>
          <w:rFonts w:ascii="仿宋_GB2312" w:hAnsi="仿宋_GB2312" w:eastAsia="仿宋_GB2312" w:cs="仿宋_GB2312"/>
          <w:b/>
          <w:sz w:val="30"/>
          <w:szCs w:val="30"/>
        </w:rPr>
      </w:pPr>
      <w:r>
        <w:rPr>
          <w:rFonts w:hint="eastAsia" w:ascii="仿宋_GB2312" w:hAnsi="仿宋_GB2312" w:eastAsia="仿宋_GB2312" w:cs="仿宋_GB2312"/>
          <w:b/>
          <w:sz w:val="30"/>
          <w:szCs w:val="30"/>
        </w:rPr>
        <w:t>参选方案文件书装订顺序</w:t>
      </w:r>
    </w:p>
    <w:p w14:paraId="53B24C49">
      <w:pPr>
        <w:rPr>
          <w:rFonts w:hint="eastAsia" w:ascii="仿宋_GB2312" w:hAnsi="仿宋_GB2312" w:eastAsia="仿宋_GB2312" w:cs="仿宋_GB2312"/>
          <w:sz w:val="30"/>
          <w:szCs w:val="30"/>
        </w:rPr>
      </w:pPr>
    </w:p>
    <w:p w14:paraId="2C384860">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1.封面（注明项目名称、公司名称、联系人、联系电话、加盖公司印章）</w:t>
      </w:r>
      <w:r>
        <w:rPr>
          <w:rFonts w:hint="eastAsia" w:ascii="仿宋_GB2312" w:hAnsi="仿宋_GB2312" w:eastAsia="仿宋_GB2312" w:cs="仿宋_GB2312"/>
          <w:sz w:val="30"/>
          <w:szCs w:val="30"/>
          <w:lang w:eastAsia="zh-CN"/>
        </w:rPr>
        <w:t>。</w:t>
      </w:r>
    </w:p>
    <w:p w14:paraId="00EA5264">
      <w:pPr>
        <w:ind w:firstLine="56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2.目录</w:t>
      </w:r>
      <w:r>
        <w:rPr>
          <w:rFonts w:hint="eastAsia" w:ascii="仿宋_GB2312" w:hAnsi="仿宋_GB2312" w:eastAsia="仿宋_GB2312" w:cs="仿宋_GB2312"/>
          <w:sz w:val="30"/>
          <w:szCs w:val="30"/>
          <w:lang w:eastAsia="zh-CN"/>
        </w:rPr>
        <w:t>。</w:t>
      </w:r>
    </w:p>
    <w:p w14:paraId="60D9475D">
      <w:pPr>
        <w:ind w:firstLine="56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.有效的各资质证</w:t>
      </w:r>
      <w:r>
        <w:rPr>
          <w:rFonts w:hint="eastAsia" w:ascii="仿宋_GB2312" w:hAnsi="仿宋_GB2312" w:eastAsia="仿宋_GB2312" w:cs="仿宋_GB2312"/>
          <w:sz w:val="30"/>
          <w:szCs w:val="30"/>
          <w:lang w:eastAsia="zh-CN"/>
        </w:rPr>
        <w:t>明</w:t>
      </w:r>
      <w:r>
        <w:rPr>
          <w:rFonts w:hint="eastAsia" w:ascii="仿宋_GB2312" w:hAnsi="仿宋_GB2312" w:eastAsia="仿宋_GB2312" w:cs="仿宋_GB2312"/>
          <w:sz w:val="30"/>
          <w:szCs w:val="30"/>
        </w:rPr>
        <w:t>文件（按附件1</w:t>
      </w:r>
      <w:r>
        <w:rPr>
          <w:rFonts w:hint="eastAsia" w:ascii="仿宋_GB2312" w:hAnsi="仿宋_GB2312" w:eastAsia="仿宋_GB2312" w:cs="仿宋_GB2312"/>
          <w:sz w:val="30"/>
          <w:szCs w:val="30"/>
          <w:lang w:val="en-US" w:eastAsia="zh-CN"/>
        </w:rPr>
        <w:t xml:space="preserve"> “1.</w:t>
      </w:r>
      <w:r>
        <w:rPr>
          <w:rFonts w:hint="eastAsia" w:ascii="仿宋_GB2312" w:hAnsi="仿宋_GB2312" w:eastAsia="仿宋_GB2312" w:cs="仿宋_GB2312"/>
          <w:sz w:val="30"/>
          <w:szCs w:val="30"/>
        </w:rPr>
        <w:t>资质要求</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顺序装订）</w:t>
      </w:r>
      <w:r>
        <w:rPr>
          <w:rFonts w:hint="eastAsia" w:ascii="仿宋_GB2312" w:hAnsi="仿宋_GB2312" w:eastAsia="仿宋_GB2312" w:cs="仿宋_GB2312"/>
          <w:sz w:val="30"/>
          <w:szCs w:val="30"/>
          <w:lang w:eastAsia="zh-CN"/>
        </w:rPr>
        <w:t>。</w:t>
      </w:r>
    </w:p>
    <w:p w14:paraId="5C5C1444">
      <w:pPr>
        <w:ind w:firstLine="56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.偏离表（格式见附件</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w:t>
      </w:r>
    </w:p>
    <w:p w14:paraId="017A3977">
      <w:pPr>
        <w:ind w:firstLine="56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5.偏离表响应内容承诺函或证明材料（按附件1 “3.技术要求” 顺序装订）。</w:t>
      </w:r>
    </w:p>
    <w:p w14:paraId="51381233">
      <w:pPr>
        <w:spacing w:line="240" w:lineRule="auto"/>
        <w:ind w:firstLine="56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6.参选机构基本情况及其他证明文件等</w:t>
      </w:r>
      <w:r>
        <w:rPr>
          <w:rFonts w:hint="eastAsia" w:ascii="仿宋_GB2312" w:hAnsi="仿宋_GB2312" w:eastAsia="仿宋_GB2312" w:cs="仿宋_GB2312"/>
          <w:sz w:val="30"/>
          <w:szCs w:val="30"/>
          <w:lang w:eastAsia="zh-CN"/>
        </w:rPr>
        <w:t>。</w:t>
      </w:r>
    </w:p>
    <w:p w14:paraId="23C5B8E7">
      <w:pPr>
        <w:spacing w:line="240" w:lineRule="auto"/>
        <w:ind w:firstLine="56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7.合作方案（格式见附件</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w:t>
      </w:r>
    </w:p>
    <w:p w14:paraId="61D180AD">
      <w:pPr>
        <w:spacing w:line="240" w:lineRule="auto"/>
        <w:ind w:firstLine="56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8.报价表（格式见附件3）。</w:t>
      </w:r>
    </w:p>
    <w:p w14:paraId="255ECF1A">
      <w:pPr>
        <w:spacing w:line="240" w:lineRule="auto"/>
        <w:ind w:firstLine="56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9</w:t>
      </w:r>
      <w:r>
        <w:rPr>
          <w:rFonts w:hint="eastAsia" w:ascii="仿宋_GB2312" w:hAnsi="仿宋_GB2312" w:eastAsia="仿宋_GB2312" w:cs="仿宋_GB2312"/>
          <w:sz w:val="30"/>
          <w:szCs w:val="30"/>
        </w:rPr>
        <w:t>.封底</w:t>
      </w:r>
      <w:r>
        <w:rPr>
          <w:rFonts w:hint="eastAsia" w:ascii="仿宋_GB2312" w:hAnsi="仿宋_GB2312" w:eastAsia="仿宋_GB2312" w:cs="仿宋_GB2312"/>
          <w:sz w:val="30"/>
          <w:szCs w:val="30"/>
          <w:lang w:eastAsia="zh-CN"/>
        </w:rPr>
        <w:t>。</w:t>
      </w:r>
    </w:p>
    <w:p w14:paraId="2C1F8523">
      <w:pPr>
        <w:ind w:firstLine="560"/>
        <w:rPr>
          <w:rFonts w:ascii="楷体_GB2312" w:hAnsi="楷体_GB2312" w:eastAsia="楷体_GB2312" w:cs="楷体_GB2312"/>
          <w:sz w:val="30"/>
          <w:szCs w:val="30"/>
        </w:rPr>
      </w:pPr>
      <w:r>
        <w:rPr>
          <w:rFonts w:hint="eastAsia" w:ascii="楷体_GB2312" w:hAnsi="楷体_GB2312" w:eastAsia="楷体_GB2312" w:cs="楷体_GB2312"/>
          <w:sz w:val="30"/>
          <w:szCs w:val="30"/>
        </w:rPr>
        <w:t>注：请务必按以上顺序装订资料，如有非中文资料，请同时提供中文翻译件。</w:t>
      </w:r>
    </w:p>
    <w:p w14:paraId="086B7989">
      <w:pPr>
        <w:rPr>
          <w:rFonts w:ascii="仿宋" w:hAnsi="仿宋" w:eastAsia="仿宋" w:cs="仿宋"/>
          <w:sz w:val="32"/>
        </w:rPr>
      </w:pPr>
    </w:p>
    <w:p w14:paraId="63A204B4">
      <w:pPr>
        <w:rPr>
          <w:rFonts w:ascii="仿宋" w:hAnsi="仿宋" w:eastAsia="仿宋" w:cs="仿宋"/>
          <w:sz w:val="32"/>
        </w:rPr>
      </w:pPr>
    </w:p>
    <w:p w14:paraId="2118F1FE">
      <w:pPr>
        <w:rPr>
          <w:rFonts w:ascii="仿宋" w:hAnsi="仿宋" w:eastAsia="仿宋" w:cs="仿宋"/>
          <w:sz w:val="32"/>
        </w:rPr>
      </w:pPr>
    </w:p>
    <w:p w14:paraId="304B0DBD">
      <w:pPr>
        <w:rPr>
          <w:rFonts w:ascii="仿宋" w:hAnsi="仿宋" w:eastAsia="仿宋" w:cs="仿宋"/>
          <w:sz w:val="32"/>
        </w:rPr>
      </w:pPr>
    </w:p>
    <w:p w14:paraId="1FDF11A9">
      <w:pPr>
        <w:rPr>
          <w:rFonts w:ascii="仿宋" w:hAnsi="仿宋" w:eastAsia="仿宋" w:cs="仿宋"/>
          <w:sz w:val="32"/>
        </w:rPr>
      </w:pPr>
    </w:p>
    <w:p w14:paraId="605E8052">
      <w:pPr>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w:t>
      </w:r>
    </w:p>
    <w:p w14:paraId="64BC9A1C">
      <w:pPr>
        <w:jc w:val="center"/>
        <w:outlineLvl w:val="9"/>
        <w:rPr>
          <w:rFonts w:ascii="仿宋_GB2312" w:hAnsi="仿宋_GB2312" w:eastAsia="仿宋_GB2312" w:cs="仿宋_GB2312"/>
          <w:b/>
          <w:sz w:val="32"/>
        </w:rPr>
      </w:pPr>
      <w:r>
        <w:rPr>
          <w:rFonts w:hint="eastAsia" w:ascii="仿宋_GB2312" w:hAnsi="仿宋_GB2312" w:eastAsia="仿宋_GB2312" w:cs="仿宋_GB2312"/>
          <w:b/>
          <w:sz w:val="32"/>
        </w:rPr>
        <w:t>偏离表</w:t>
      </w:r>
    </w:p>
    <w:tbl>
      <w:tblPr>
        <w:tblStyle w:val="6"/>
        <w:tblW w:w="0" w:type="auto"/>
        <w:jc w:val="center"/>
        <w:tblLayout w:type="autofit"/>
        <w:tblCellMar>
          <w:top w:w="0" w:type="dxa"/>
          <w:left w:w="10" w:type="dxa"/>
          <w:bottom w:w="0" w:type="dxa"/>
          <w:right w:w="10" w:type="dxa"/>
        </w:tblCellMar>
      </w:tblPr>
      <w:tblGrid>
        <w:gridCol w:w="1056"/>
        <w:gridCol w:w="2299"/>
        <w:gridCol w:w="2299"/>
        <w:gridCol w:w="2868"/>
      </w:tblGrid>
      <w:tr w14:paraId="3F684022">
        <w:tblPrEx>
          <w:tblCellMar>
            <w:top w:w="0" w:type="dxa"/>
            <w:left w:w="10" w:type="dxa"/>
            <w:bottom w:w="0" w:type="dxa"/>
            <w:right w:w="10" w:type="dxa"/>
          </w:tblCellMar>
        </w:tblPrEx>
        <w:trPr>
          <w:jc w:val="center"/>
        </w:trPr>
        <w:tc>
          <w:tcPr>
            <w:tcW w:w="1056"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center"/>
          </w:tcPr>
          <w:p w14:paraId="7D737151">
            <w:pPr>
              <w:spacing w:line="360" w:lineRule="auto"/>
              <w:jc w:val="center"/>
              <w:rPr>
                <w:rFonts w:ascii="黑体" w:hAnsi="黑体" w:eastAsia="黑体" w:cs="黑体"/>
                <w:bCs/>
              </w:rPr>
            </w:pPr>
            <w:r>
              <w:rPr>
                <w:rFonts w:hint="eastAsia" w:ascii="黑体" w:hAnsi="黑体" w:eastAsia="黑体" w:cs="黑体"/>
                <w:bCs/>
                <w:sz w:val="28"/>
              </w:rPr>
              <w:t>序号</w:t>
            </w:r>
          </w:p>
        </w:tc>
        <w:tc>
          <w:tcPr>
            <w:tcW w:w="2299" w:type="dxa"/>
            <w:tcBorders>
              <w:top w:val="single" w:color="000000" w:sz="8" w:space="0"/>
              <w:left w:val="single" w:color="000000" w:sz="2" w:space="0"/>
              <w:bottom w:val="single" w:color="000000" w:sz="8" w:space="0"/>
              <w:right w:val="single" w:color="000000" w:sz="8" w:space="0"/>
            </w:tcBorders>
            <w:shd w:val="clear" w:color="auto" w:fill="auto"/>
            <w:tcMar>
              <w:left w:w="108" w:type="dxa"/>
              <w:right w:w="108" w:type="dxa"/>
            </w:tcMar>
            <w:vAlign w:val="center"/>
          </w:tcPr>
          <w:p w14:paraId="73647C32">
            <w:pPr>
              <w:spacing w:line="360" w:lineRule="auto"/>
              <w:jc w:val="center"/>
              <w:rPr>
                <w:rFonts w:ascii="黑体" w:hAnsi="黑体" w:eastAsia="黑体" w:cs="黑体"/>
                <w:bCs/>
              </w:rPr>
            </w:pPr>
            <w:r>
              <w:rPr>
                <w:rFonts w:hint="eastAsia" w:ascii="黑体" w:hAnsi="黑体" w:eastAsia="黑体" w:cs="黑体"/>
                <w:bCs/>
                <w:sz w:val="28"/>
              </w:rPr>
              <w:t>遴选要求</w:t>
            </w:r>
          </w:p>
        </w:tc>
        <w:tc>
          <w:tcPr>
            <w:tcW w:w="2299" w:type="dxa"/>
            <w:tcBorders>
              <w:top w:val="single" w:color="000000" w:sz="8" w:space="0"/>
              <w:left w:val="single" w:color="000000" w:sz="2" w:space="0"/>
              <w:bottom w:val="single" w:color="000000" w:sz="8" w:space="0"/>
              <w:right w:val="single" w:color="000000" w:sz="8" w:space="0"/>
            </w:tcBorders>
            <w:shd w:val="clear" w:color="auto" w:fill="auto"/>
            <w:tcMar>
              <w:left w:w="108" w:type="dxa"/>
              <w:right w:w="108" w:type="dxa"/>
            </w:tcMar>
            <w:vAlign w:val="center"/>
          </w:tcPr>
          <w:p w14:paraId="0E7C4733">
            <w:pPr>
              <w:spacing w:line="360" w:lineRule="auto"/>
              <w:jc w:val="center"/>
              <w:rPr>
                <w:rFonts w:ascii="黑体" w:hAnsi="黑体" w:eastAsia="黑体" w:cs="黑体"/>
                <w:bCs/>
              </w:rPr>
            </w:pPr>
            <w:r>
              <w:rPr>
                <w:rFonts w:hint="eastAsia" w:ascii="黑体" w:hAnsi="黑体" w:eastAsia="黑体" w:cs="黑体"/>
                <w:bCs/>
                <w:sz w:val="28"/>
              </w:rPr>
              <w:t>响应内容</w:t>
            </w:r>
          </w:p>
        </w:tc>
        <w:tc>
          <w:tcPr>
            <w:tcW w:w="2868" w:type="dxa"/>
            <w:tcBorders>
              <w:top w:val="single" w:color="000000" w:sz="8" w:space="0"/>
              <w:left w:val="single" w:color="000000" w:sz="2" w:space="0"/>
              <w:bottom w:val="single" w:color="000000" w:sz="8" w:space="0"/>
              <w:right w:val="single" w:color="000000" w:sz="8" w:space="0"/>
            </w:tcBorders>
            <w:shd w:val="clear" w:color="auto" w:fill="auto"/>
            <w:tcMar>
              <w:left w:w="108" w:type="dxa"/>
              <w:right w:w="108" w:type="dxa"/>
            </w:tcMar>
            <w:vAlign w:val="center"/>
          </w:tcPr>
          <w:p w14:paraId="6E368741">
            <w:pPr>
              <w:spacing w:line="360" w:lineRule="auto"/>
              <w:jc w:val="center"/>
              <w:rPr>
                <w:rFonts w:ascii="黑体" w:hAnsi="黑体" w:eastAsia="黑体" w:cs="黑体"/>
                <w:bCs/>
              </w:rPr>
            </w:pPr>
            <w:r>
              <w:rPr>
                <w:rFonts w:hint="eastAsia" w:ascii="黑体" w:hAnsi="黑体" w:eastAsia="黑体" w:cs="黑体"/>
                <w:bCs/>
                <w:sz w:val="28"/>
              </w:rPr>
              <w:t>偏离及其影响</w:t>
            </w:r>
          </w:p>
        </w:tc>
      </w:tr>
      <w:tr w14:paraId="48C84E82">
        <w:tblPrEx>
          <w:tblCellMar>
            <w:top w:w="0" w:type="dxa"/>
            <w:left w:w="10" w:type="dxa"/>
            <w:bottom w:w="0" w:type="dxa"/>
            <w:right w:w="10" w:type="dxa"/>
          </w:tblCellMar>
        </w:tblPrEx>
        <w:trPr>
          <w:jc w:val="center"/>
        </w:trPr>
        <w:tc>
          <w:tcPr>
            <w:tcW w:w="1056" w:type="dxa"/>
            <w:tcBorders>
              <w:top w:val="single" w:color="000000" w:sz="2" w:space="0"/>
              <w:left w:val="single" w:color="000000" w:sz="8" w:space="0"/>
              <w:bottom w:val="single" w:color="000000" w:sz="8" w:space="0"/>
              <w:right w:val="single" w:color="000000" w:sz="8" w:space="0"/>
            </w:tcBorders>
            <w:shd w:val="clear" w:color="auto" w:fill="auto"/>
            <w:tcMar>
              <w:left w:w="108" w:type="dxa"/>
              <w:right w:w="108" w:type="dxa"/>
            </w:tcMar>
          </w:tcPr>
          <w:p w14:paraId="7220C63F">
            <w:pPr>
              <w:rPr>
                <w:rFonts w:ascii="宋体" w:hAnsi="宋体"/>
                <w:sz w:val="22"/>
              </w:rPr>
            </w:pPr>
          </w:p>
        </w:tc>
        <w:tc>
          <w:tcPr>
            <w:tcW w:w="2299" w:type="dxa"/>
            <w:tcBorders>
              <w:top w:val="single" w:color="000000" w:sz="2" w:space="0"/>
              <w:left w:val="single" w:color="000000" w:sz="2" w:space="0"/>
              <w:bottom w:val="single" w:color="000000" w:sz="8" w:space="0"/>
              <w:right w:val="single" w:color="000000" w:sz="8" w:space="0"/>
            </w:tcBorders>
            <w:shd w:val="clear" w:color="auto" w:fill="auto"/>
            <w:tcMar>
              <w:left w:w="108" w:type="dxa"/>
              <w:right w:w="108" w:type="dxa"/>
            </w:tcMar>
          </w:tcPr>
          <w:p w14:paraId="1CF05A69">
            <w:pPr>
              <w:rPr>
                <w:rFonts w:ascii="宋体" w:hAnsi="宋体"/>
                <w:sz w:val="22"/>
              </w:rPr>
            </w:pPr>
          </w:p>
        </w:tc>
        <w:tc>
          <w:tcPr>
            <w:tcW w:w="2299" w:type="dxa"/>
            <w:tcBorders>
              <w:top w:val="single" w:color="000000" w:sz="2" w:space="0"/>
              <w:left w:val="single" w:color="000000" w:sz="2" w:space="0"/>
              <w:bottom w:val="single" w:color="000000" w:sz="8" w:space="0"/>
              <w:right w:val="single" w:color="000000" w:sz="8" w:space="0"/>
            </w:tcBorders>
            <w:shd w:val="clear" w:color="auto" w:fill="auto"/>
            <w:tcMar>
              <w:left w:w="108" w:type="dxa"/>
              <w:right w:w="108" w:type="dxa"/>
            </w:tcMar>
          </w:tcPr>
          <w:p w14:paraId="415A0E28">
            <w:pPr>
              <w:rPr>
                <w:rFonts w:ascii="宋体" w:hAnsi="宋体"/>
                <w:sz w:val="22"/>
              </w:rPr>
            </w:pPr>
          </w:p>
        </w:tc>
        <w:tc>
          <w:tcPr>
            <w:tcW w:w="2868" w:type="dxa"/>
            <w:tcBorders>
              <w:top w:val="single" w:color="000000" w:sz="2" w:space="0"/>
              <w:left w:val="single" w:color="000000" w:sz="2" w:space="0"/>
              <w:bottom w:val="single" w:color="000000" w:sz="8" w:space="0"/>
              <w:right w:val="single" w:color="000000" w:sz="8" w:space="0"/>
            </w:tcBorders>
            <w:shd w:val="clear" w:color="auto" w:fill="auto"/>
            <w:tcMar>
              <w:left w:w="108" w:type="dxa"/>
              <w:right w:w="108" w:type="dxa"/>
            </w:tcMar>
          </w:tcPr>
          <w:p w14:paraId="4420F485">
            <w:pPr>
              <w:rPr>
                <w:rFonts w:ascii="宋体" w:hAnsi="宋体"/>
                <w:sz w:val="22"/>
              </w:rPr>
            </w:pPr>
          </w:p>
        </w:tc>
      </w:tr>
      <w:tr w14:paraId="325CECB5">
        <w:tblPrEx>
          <w:tblCellMar>
            <w:top w:w="0" w:type="dxa"/>
            <w:left w:w="10" w:type="dxa"/>
            <w:bottom w:w="0" w:type="dxa"/>
            <w:right w:w="10" w:type="dxa"/>
          </w:tblCellMar>
        </w:tblPrEx>
        <w:trPr>
          <w:jc w:val="center"/>
        </w:trPr>
        <w:tc>
          <w:tcPr>
            <w:tcW w:w="1056" w:type="dxa"/>
            <w:tcBorders>
              <w:top w:val="single" w:color="000000" w:sz="2" w:space="0"/>
              <w:left w:val="single" w:color="000000" w:sz="8" w:space="0"/>
              <w:bottom w:val="single" w:color="000000" w:sz="2" w:space="0"/>
              <w:right w:val="single" w:color="000000" w:sz="8" w:space="0"/>
            </w:tcBorders>
            <w:shd w:val="clear" w:color="auto" w:fill="auto"/>
            <w:tcMar>
              <w:left w:w="108" w:type="dxa"/>
              <w:right w:w="108" w:type="dxa"/>
            </w:tcMar>
          </w:tcPr>
          <w:p w14:paraId="096A1B45">
            <w:pPr>
              <w:rPr>
                <w:rFonts w:ascii="宋体" w:hAnsi="宋体"/>
                <w:sz w:val="22"/>
              </w:rPr>
            </w:pPr>
          </w:p>
        </w:tc>
        <w:tc>
          <w:tcPr>
            <w:tcW w:w="2299"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79B52A78">
            <w:pPr>
              <w:rPr>
                <w:rFonts w:ascii="宋体" w:hAnsi="宋体"/>
                <w:sz w:val="22"/>
              </w:rPr>
            </w:pPr>
          </w:p>
        </w:tc>
        <w:tc>
          <w:tcPr>
            <w:tcW w:w="2299"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34780E3F">
            <w:pPr>
              <w:rPr>
                <w:rFonts w:ascii="宋体" w:hAnsi="宋体"/>
                <w:sz w:val="22"/>
              </w:rPr>
            </w:pPr>
          </w:p>
        </w:tc>
        <w:tc>
          <w:tcPr>
            <w:tcW w:w="2868"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0C5A6803">
            <w:pPr>
              <w:rPr>
                <w:rFonts w:ascii="宋体" w:hAnsi="宋体"/>
                <w:sz w:val="22"/>
              </w:rPr>
            </w:pPr>
          </w:p>
        </w:tc>
      </w:tr>
      <w:tr w14:paraId="3BAE2A02">
        <w:tblPrEx>
          <w:tblCellMar>
            <w:top w:w="0" w:type="dxa"/>
            <w:left w:w="10" w:type="dxa"/>
            <w:bottom w:w="0" w:type="dxa"/>
            <w:right w:w="10" w:type="dxa"/>
          </w:tblCellMar>
        </w:tblPrEx>
        <w:trPr>
          <w:jc w:val="center"/>
        </w:trPr>
        <w:tc>
          <w:tcPr>
            <w:tcW w:w="1056" w:type="dxa"/>
            <w:tcBorders>
              <w:top w:val="single" w:color="000000" w:sz="2" w:space="0"/>
              <w:left w:val="single" w:color="000000" w:sz="8" w:space="0"/>
              <w:bottom w:val="single" w:color="000000" w:sz="2" w:space="0"/>
              <w:right w:val="single" w:color="000000" w:sz="8" w:space="0"/>
            </w:tcBorders>
            <w:shd w:val="clear" w:color="auto" w:fill="auto"/>
            <w:tcMar>
              <w:left w:w="108" w:type="dxa"/>
              <w:right w:w="108" w:type="dxa"/>
            </w:tcMar>
          </w:tcPr>
          <w:p w14:paraId="31B68892">
            <w:pPr>
              <w:rPr>
                <w:rFonts w:ascii="宋体" w:hAnsi="宋体"/>
                <w:sz w:val="22"/>
              </w:rPr>
            </w:pPr>
          </w:p>
        </w:tc>
        <w:tc>
          <w:tcPr>
            <w:tcW w:w="2299"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591E6B4A">
            <w:pPr>
              <w:rPr>
                <w:rFonts w:ascii="宋体" w:hAnsi="宋体"/>
                <w:sz w:val="22"/>
              </w:rPr>
            </w:pPr>
          </w:p>
        </w:tc>
        <w:tc>
          <w:tcPr>
            <w:tcW w:w="2299"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4BE018BB">
            <w:pPr>
              <w:rPr>
                <w:rFonts w:ascii="宋体" w:hAnsi="宋体"/>
                <w:sz w:val="22"/>
              </w:rPr>
            </w:pPr>
          </w:p>
        </w:tc>
        <w:tc>
          <w:tcPr>
            <w:tcW w:w="2868"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2A15826D">
            <w:pPr>
              <w:rPr>
                <w:rFonts w:ascii="宋体" w:hAnsi="宋体"/>
                <w:sz w:val="22"/>
              </w:rPr>
            </w:pPr>
          </w:p>
        </w:tc>
      </w:tr>
      <w:tr w14:paraId="1894A754">
        <w:tblPrEx>
          <w:tblCellMar>
            <w:top w:w="0" w:type="dxa"/>
            <w:left w:w="10" w:type="dxa"/>
            <w:bottom w:w="0" w:type="dxa"/>
            <w:right w:w="10" w:type="dxa"/>
          </w:tblCellMar>
        </w:tblPrEx>
        <w:trPr>
          <w:jc w:val="center"/>
        </w:trPr>
        <w:tc>
          <w:tcPr>
            <w:tcW w:w="1056" w:type="dxa"/>
            <w:tcBorders>
              <w:top w:val="single" w:color="000000" w:sz="2" w:space="0"/>
              <w:left w:val="single" w:color="000000" w:sz="8" w:space="0"/>
              <w:bottom w:val="single" w:color="000000" w:sz="2" w:space="0"/>
              <w:right w:val="single" w:color="000000" w:sz="8" w:space="0"/>
            </w:tcBorders>
            <w:shd w:val="clear" w:color="auto" w:fill="auto"/>
            <w:tcMar>
              <w:left w:w="108" w:type="dxa"/>
              <w:right w:w="108" w:type="dxa"/>
            </w:tcMar>
          </w:tcPr>
          <w:p w14:paraId="58CB53EE">
            <w:pPr>
              <w:rPr>
                <w:rFonts w:ascii="宋体" w:hAnsi="宋体"/>
                <w:sz w:val="22"/>
              </w:rPr>
            </w:pPr>
          </w:p>
        </w:tc>
        <w:tc>
          <w:tcPr>
            <w:tcW w:w="2299"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03B67868">
            <w:pPr>
              <w:rPr>
                <w:rFonts w:ascii="宋体" w:hAnsi="宋体"/>
                <w:sz w:val="22"/>
              </w:rPr>
            </w:pPr>
          </w:p>
        </w:tc>
        <w:tc>
          <w:tcPr>
            <w:tcW w:w="2299"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7845299D">
            <w:pPr>
              <w:rPr>
                <w:rFonts w:ascii="宋体" w:hAnsi="宋体"/>
                <w:sz w:val="22"/>
              </w:rPr>
            </w:pPr>
          </w:p>
        </w:tc>
        <w:tc>
          <w:tcPr>
            <w:tcW w:w="2868"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399B7B59">
            <w:pPr>
              <w:rPr>
                <w:rFonts w:ascii="宋体" w:hAnsi="宋体"/>
                <w:sz w:val="22"/>
              </w:rPr>
            </w:pPr>
          </w:p>
        </w:tc>
      </w:tr>
      <w:tr w14:paraId="4D85D5E0">
        <w:tblPrEx>
          <w:tblCellMar>
            <w:top w:w="0" w:type="dxa"/>
            <w:left w:w="10" w:type="dxa"/>
            <w:bottom w:w="0" w:type="dxa"/>
            <w:right w:w="10" w:type="dxa"/>
          </w:tblCellMar>
        </w:tblPrEx>
        <w:trPr>
          <w:jc w:val="center"/>
        </w:trPr>
        <w:tc>
          <w:tcPr>
            <w:tcW w:w="1056" w:type="dxa"/>
            <w:tcBorders>
              <w:top w:val="single" w:color="000000" w:sz="2" w:space="0"/>
              <w:left w:val="single" w:color="000000" w:sz="8" w:space="0"/>
              <w:bottom w:val="single" w:color="000000" w:sz="2" w:space="0"/>
              <w:right w:val="single" w:color="000000" w:sz="8" w:space="0"/>
            </w:tcBorders>
            <w:shd w:val="clear" w:color="auto" w:fill="auto"/>
            <w:tcMar>
              <w:left w:w="108" w:type="dxa"/>
              <w:right w:w="108" w:type="dxa"/>
            </w:tcMar>
          </w:tcPr>
          <w:p w14:paraId="6D778343">
            <w:pPr>
              <w:rPr>
                <w:rFonts w:ascii="宋体" w:hAnsi="宋体"/>
                <w:sz w:val="22"/>
              </w:rPr>
            </w:pPr>
          </w:p>
        </w:tc>
        <w:tc>
          <w:tcPr>
            <w:tcW w:w="2299"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5BBCE4CA">
            <w:pPr>
              <w:rPr>
                <w:rFonts w:ascii="宋体" w:hAnsi="宋体"/>
                <w:sz w:val="22"/>
              </w:rPr>
            </w:pPr>
          </w:p>
        </w:tc>
        <w:tc>
          <w:tcPr>
            <w:tcW w:w="2299"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037A8BCA">
            <w:pPr>
              <w:rPr>
                <w:rFonts w:ascii="宋体" w:hAnsi="宋体"/>
                <w:sz w:val="22"/>
              </w:rPr>
            </w:pPr>
          </w:p>
        </w:tc>
        <w:tc>
          <w:tcPr>
            <w:tcW w:w="2868" w:type="dxa"/>
            <w:tcBorders>
              <w:top w:val="single" w:color="000000" w:sz="2" w:space="0"/>
              <w:left w:val="single" w:color="000000" w:sz="2" w:space="0"/>
              <w:bottom w:val="single" w:color="000000" w:sz="2" w:space="0"/>
              <w:right w:val="single" w:color="000000" w:sz="8" w:space="0"/>
            </w:tcBorders>
            <w:shd w:val="clear" w:color="auto" w:fill="auto"/>
            <w:tcMar>
              <w:left w:w="108" w:type="dxa"/>
              <w:right w:w="108" w:type="dxa"/>
            </w:tcMar>
          </w:tcPr>
          <w:p w14:paraId="52D3540E">
            <w:pPr>
              <w:rPr>
                <w:rFonts w:ascii="宋体" w:hAnsi="宋体"/>
                <w:sz w:val="22"/>
              </w:rPr>
            </w:pPr>
          </w:p>
        </w:tc>
      </w:tr>
      <w:tr w14:paraId="0D0EF2FB">
        <w:tblPrEx>
          <w:tblCellMar>
            <w:top w:w="0" w:type="dxa"/>
            <w:left w:w="10" w:type="dxa"/>
            <w:bottom w:w="0" w:type="dxa"/>
            <w:right w:w="10" w:type="dxa"/>
          </w:tblCellMar>
        </w:tblPrEx>
        <w:trPr>
          <w:jc w:val="center"/>
        </w:trPr>
        <w:tc>
          <w:tcPr>
            <w:tcW w:w="1056" w:type="dxa"/>
            <w:tcBorders>
              <w:top w:val="single" w:color="000000" w:sz="2" w:space="0"/>
              <w:left w:val="single" w:color="000000" w:sz="8" w:space="0"/>
              <w:bottom w:val="single" w:color="000000" w:sz="8" w:space="0"/>
              <w:right w:val="single" w:color="000000" w:sz="8" w:space="0"/>
            </w:tcBorders>
            <w:shd w:val="clear" w:color="auto" w:fill="auto"/>
            <w:tcMar>
              <w:left w:w="108" w:type="dxa"/>
              <w:right w:w="108" w:type="dxa"/>
            </w:tcMar>
          </w:tcPr>
          <w:p w14:paraId="56594174">
            <w:pPr>
              <w:rPr>
                <w:rFonts w:ascii="宋体" w:hAnsi="宋体"/>
                <w:sz w:val="22"/>
              </w:rPr>
            </w:pPr>
          </w:p>
        </w:tc>
        <w:tc>
          <w:tcPr>
            <w:tcW w:w="2299" w:type="dxa"/>
            <w:tcBorders>
              <w:top w:val="single" w:color="000000" w:sz="2" w:space="0"/>
              <w:left w:val="single" w:color="000000" w:sz="2" w:space="0"/>
              <w:bottom w:val="single" w:color="000000" w:sz="8" w:space="0"/>
              <w:right w:val="single" w:color="000000" w:sz="8" w:space="0"/>
            </w:tcBorders>
            <w:shd w:val="clear" w:color="auto" w:fill="auto"/>
            <w:tcMar>
              <w:left w:w="108" w:type="dxa"/>
              <w:right w:w="108" w:type="dxa"/>
            </w:tcMar>
          </w:tcPr>
          <w:p w14:paraId="72BF39DE">
            <w:pPr>
              <w:rPr>
                <w:rFonts w:ascii="宋体" w:hAnsi="宋体"/>
                <w:sz w:val="22"/>
              </w:rPr>
            </w:pPr>
          </w:p>
        </w:tc>
        <w:tc>
          <w:tcPr>
            <w:tcW w:w="2299" w:type="dxa"/>
            <w:tcBorders>
              <w:top w:val="single" w:color="000000" w:sz="2" w:space="0"/>
              <w:left w:val="single" w:color="000000" w:sz="2" w:space="0"/>
              <w:bottom w:val="single" w:color="000000" w:sz="8" w:space="0"/>
              <w:right w:val="single" w:color="000000" w:sz="8" w:space="0"/>
            </w:tcBorders>
            <w:shd w:val="clear" w:color="auto" w:fill="auto"/>
            <w:tcMar>
              <w:left w:w="108" w:type="dxa"/>
              <w:right w:w="108" w:type="dxa"/>
            </w:tcMar>
          </w:tcPr>
          <w:p w14:paraId="28E37F78">
            <w:pPr>
              <w:rPr>
                <w:rFonts w:ascii="宋体" w:hAnsi="宋体"/>
                <w:sz w:val="22"/>
              </w:rPr>
            </w:pPr>
          </w:p>
        </w:tc>
        <w:tc>
          <w:tcPr>
            <w:tcW w:w="2868" w:type="dxa"/>
            <w:tcBorders>
              <w:top w:val="single" w:color="000000" w:sz="2" w:space="0"/>
              <w:left w:val="single" w:color="000000" w:sz="2" w:space="0"/>
              <w:bottom w:val="single" w:color="000000" w:sz="8" w:space="0"/>
              <w:right w:val="single" w:color="000000" w:sz="8" w:space="0"/>
            </w:tcBorders>
            <w:shd w:val="clear" w:color="auto" w:fill="auto"/>
            <w:tcMar>
              <w:left w:w="108" w:type="dxa"/>
              <w:right w:w="108" w:type="dxa"/>
            </w:tcMar>
          </w:tcPr>
          <w:p w14:paraId="3BAD5A0B">
            <w:pPr>
              <w:rPr>
                <w:rFonts w:ascii="宋体" w:hAnsi="宋体"/>
                <w:sz w:val="22"/>
              </w:rPr>
            </w:pPr>
          </w:p>
        </w:tc>
      </w:tr>
    </w:tbl>
    <w:p w14:paraId="42850794">
      <w:pPr>
        <w:rPr>
          <w:rFonts w:ascii="楷体_GB2312" w:hAnsi="楷体_GB2312" w:eastAsia="楷体_GB2312" w:cs="楷体_GB2312"/>
          <w:sz w:val="28"/>
          <w:szCs w:val="28"/>
        </w:rPr>
      </w:pPr>
      <w:r>
        <w:rPr>
          <w:rFonts w:hint="eastAsia" w:ascii="楷体_GB2312" w:hAnsi="楷体_GB2312" w:eastAsia="楷体_GB2312" w:cs="楷体_GB2312"/>
          <w:sz w:val="28"/>
          <w:szCs w:val="28"/>
        </w:rPr>
        <w:t>注：1、此表要求响应内容与附件1</w:t>
      </w:r>
      <w:r>
        <w:rPr>
          <w:rFonts w:hint="eastAsia" w:ascii="楷体_GB2312" w:hAnsi="楷体_GB2312" w:eastAsia="楷体_GB2312" w:cs="楷体_GB2312"/>
          <w:sz w:val="28"/>
          <w:szCs w:val="28"/>
          <w:lang w:eastAsia="zh-CN"/>
        </w:rPr>
        <w:t>“</w:t>
      </w:r>
      <w:r>
        <w:rPr>
          <w:rFonts w:hint="eastAsia" w:ascii="楷体_GB2312" w:hAnsi="楷体_GB2312" w:eastAsia="楷体_GB2312" w:cs="楷体_GB2312"/>
          <w:sz w:val="28"/>
          <w:szCs w:val="28"/>
          <w:lang w:val="en-US" w:eastAsia="zh-CN"/>
        </w:rPr>
        <w:t>3.技术要求</w:t>
      </w:r>
      <w:r>
        <w:rPr>
          <w:rFonts w:hint="eastAsia" w:ascii="楷体_GB2312" w:hAnsi="楷体_GB2312" w:eastAsia="楷体_GB2312" w:cs="楷体_GB2312"/>
          <w:sz w:val="28"/>
          <w:szCs w:val="28"/>
          <w:lang w:eastAsia="zh-CN"/>
        </w:rPr>
        <w:t>”</w:t>
      </w:r>
      <w:r>
        <w:rPr>
          <w:rFonts w:hint="eastAsia" w:ascii="楷体_GB2312" w:hAnsi="楷体_GB2312" w:eastAsia="楷体_GB2312" w:cs="楷体_GB2312"/>
          <w:sz w:val="28"/>
          <w:szCs w:val="28"/>
        </w:rPr>
        <w:t>一一对应、逐一列出</w:t>
      </w:r>
      <w:r>
        <w:rPr>
          <w:rFonts w:hint="eastAsia" w:ascii="楷体_GB2312" w:hAnsi="宋体" w:eastAsia="楷体_GB2312"/>
          <w:sz w:val="28"/>
          <w:szCs w:val="28"/>
          <w:lang w:val="en-US" w:eastAsia="zh-CN"/>
        </w:rPr>
        <w:t>并附证明材料或承诺函加盖公章</w:t>
      </w:r>
      <w:r>
        <w:rPr>
          <w:rFonts w:hint="eastAsia" w:ascii="楷体_GB2312" w:hAnsi="楷体_GB2312" w:eastAsia="楷体_GB2312" w:cs="楷体_GB2312"/>
          <w:sz w:val="28"/>
          <w:szCs w:val="28"/>
        </w:rPr>
        <w:t>；2．据实填写偏离及其影响的内容，不得虚假响应，否则视为无效并按规定追究其相关责任。</w:t>
      </w:r>
    </w:p>
    <w:p w14:paraId="4525371D">
      <w:pPr>
        <w:ind w:firstLine="3360"/>
        <w:rPr>
          <w:rFonts w:ascii="楷体_GB2312" w:hAnsi="楷体_GB2312" w:eastAsia="楷体_GB2312" w:cs="楷体_GB2312"/>
          <w:sz w:val="28"/>
          <w:szCs w:val="28"/>
        </w:rPr>
      </w:pPr>
    </w:p>
    <w:p w14:paraId="2C608192">
      <w:pPr>
        <w:ind w:firstLine="4620"/>
        <w:rPr>
          <w:rFonts w:ascii="楷体_GB2312" w:hAnsi="楷体_GB2312" w:eastAsia="楷体_GB2312" w:cs="楷体_GB2312"/>
          <w:sz w:val="28"/>
          <w:szCs w:val="28"/>
        </w:rPr>
      </w:pPr>
      <w:r>
        <w:rPr>
          <w:rFonts w:hint="eastAsia" w:ascii="楷体_GB2312" w:hAnsi="楷体_GB2312" w:eastAsia="楷体_GB2312" w:cs="楷体_GB2312"/>
          <w:sz w:val="28"/>
          <w:szCs w:val="28"/>
        </w:rPr>
        <w:t>法定代表人或授权代表签字：</w:t>
      </w:r>
    </w:p>
    <w:p w14:paraId="0107E8FA">
      <w:pPr>
        <w:ind w:firstLine="4620"/>
        <w:rPr>
          <w:rFonts w:ascii="楷体_GB2312" w:hAnsi="楷体_GB2312" w:eastAsia="楷体_GB2312" w:cs="楷体_GB2312"/>
          <w:sz w:val="28"/>
          <w:szCs w:val="28"/>
        </w:rPr>
      </w:pPr>
      <w:r>
        <w:rPr>
          <w:rFonts w:hint="eastAsia" w:ascii="楷体_GB2312" w:hAnsi="楷体_GB2312" w:eastAsia="楷体_GB2312" w:cs="楷体_GB2312"/>
          <w:sz w:val="28"/>
          <w:szCs w:val="28"/>
        </w:rPr>
        <w:t>日期:</w:t>
      </w:r>
    </w:p>
    <w:p w14:paraId="3FE7890E">
      <w:pPr>
        <w:rPr>
          <w:rFonts w:ascii="楷体_GB2312" w:hAnsi="楷体_GB2312" w:eastAsia="楷体_GB2312" w:cs="楷体_GB2312"/>
          <w:sz w:val="28"/>
        </w:rPr>
      </w:pPr>
    </w:p>
    <w:p w14:paraId="4B38EB74">
      <w:pPr>
        <w:rPr>
          <w:rFonts w:ascii="仿宋" w:hAnsi="仿宋" w:eastAsia="仿宋" w:cs="仿宋"/>
          <w:sz w:val="32"/>
        </w:rPr>
      </w:pPr>
    </w:p>
    <w:p w14:paraId="1A4EE41F">
      <w:pPr>
        <w:rPr>
          <w:rFonts w:ascii="仿宋" w:hAnsi="仿宋" w:eastAsia="仿宋" w:cs="仿宋"/>
          <w:sz w:val="32"/>
        </w:rPr>
      </w:pPr>
    </w:p>
    <w:p w14:paraId="2C135855">
      <w:pPr>
        <w:rPr>
          <w:rFonts w:ascii="仿宋" w:hAnsi="仿宋" w:eastAsia="仿宋" w:cs="仿宋"/>
          <w:sz w:val="32"/>
        </w:rPr>
      </w:pPr>
    </w:p>
    <w:p w14:paraId="562752E5">
      <w:pPr>
        <w:rPr>
          <w:rFonts w:ascii="仿宋" w:hAnsi="仿宋" w:eastAsia="仿宋" w:cs="仿宋"/>
          <w:sz w:val="32"/>
        </w:rPr>
      </w:pPr>
    </w:p>
    <w:p w14:paraId="7AB77FBB">
      <w:pPr>
        <w:rPr>
          <w:rFonts w:ascii="仿宋" w:hAnsi="仿宋" w:eastAsia="仿宋" w:cs="仿宋"/>
          <w:sz w:val="32"/>
        </w:rPr>
      </w:pPr>
    </w:p>
    <w:p w14:paraId="0339A320">
      <w:pPr>
        <w:rPr>
          <w:rFonts w:ascii="仿宋" w:hAnsi="仿宋" w:eastAsia="仿宋" w:cs="仿宋"/>
          <w:sz w:val="32"/>
        </w:rPr>
      </w:pPr>
    </w:p>
    <w:p w14:paraId="4009A11C">
      <w:pPr>
        <w:rPr>
          <w:rFonts w:ascii="仿宋" w:hAnsi="仿宋" w:eastAsia="仿宋" w:cs="仿宋"/>
          <w:sz w:val="32"/>
        </w:rPr>
      </w:pPr>
    </w:p>
    <w:p w14:paraId="16173874">
      <w:pPr>
        <w:rPr>
          <w:rFonts w:ascii="仿宋" w:hAnsi="仿宋" w:eastAsia="仿宋" w:cs="仿宋"/>
          <w:sz w:val="32"/>
        </w:rPr>
      </w:pPr>
    </w:p>
    <w:p w14:paraId="1FCC8D03">
      <w:pPr>
        <w:rPr>
          <w:rFonts w:ascii="仿宋" w:hAnsi="仿宋" w:eastAsia="仿宋" w:cs="仿宋"/>
          <w:sz w:val="32"/>
        </w:rPr>
      </w:pPr>
    </w:p>
    <w:p w14:paraId="7D9DDE90">
      <w:pPr>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hint="eastAsia" w:ascii="仿宋_GB2312" w:hAnsi="仿宋_GB2312" w:eastAsia="仿宋_GB2312" w:cs="仿宋_GB2312"/>
          <w:sz w:val="30"/>
          <w:szCs w:val="30"/>
          <w:lang w:val="en-US" w:eastAsia="zh-CN"/>
        </w:rPr>
        <w:t>6</w:t>
      </w:r>
      <w:r>
        <w:rPr>
          <w:rFonts w:hint="eastAsia" w:ascii="仿宋_GB2312" w:hAnsi="仿宋_GB2312" w:eastAsia="仿宋_GB2312" w:cs="仿宋_GB2312"/>
          <w:sz w:val="30"/>
          <w:szCs w:val="30"/>
        </w:rPr>
        <w:t>:</w:t>
      </w:r>
    </w:p>
    <w:p w14:paraId="50187A8F">
      <w:pPr>
        <w:adjustRightInd w:val="0"/>
        <w:snapToGrid w:val="0"/>
        <w:spacing w:line="480" w:lineRule="auto"/>
        <w:ind w:firstLine="640" w:firstLineChars="0"/>
        <w:jc w:val="center"/>
        <w:outlineLvl w:val="9"/>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法定代表人身份授权书</w:t>
      </w:r>
    </w:p>
    <w:p w14:paraId="3ECA9FA9">
      <w:pPr>
        <w:ind w:firstLine="600" w:firstLineChars="200"/>
        <w:rPr>
          <w:rFonts w:hint="eastAsia" w:ascii="仿宋_GB2312" w:hAnsi="仿宋_GB2312" w:eastAsia="仿宋_GB2312" w:cs="仿宋_GB2312"/>
          <w:sz w:val="30"/>
          <w:szCs w:val="30"/>
        </w:rPr>
      </w:pPr>
    </w:p>
    <w:p w14:paraId="4FED595F">
      <w:pPr>
        <w:ind w:firstLine="600" w:firstLineChars="200"/>
        <w:rPr>
          <w:rFonts w:hint="eastAsia" w:ascii="仿宋_GB2312" w:hAnsi="仿宋_GB2312" w:eastAsia="仿宋_GB2312" w:cs="仿宋_GB2312"/>
          <w:sz w:val="30"/>
          <w:szCs w:val="30"/>
          <w:lang w:val="zh-CN"/>
        </w:rPr>
      </w:pPr>
      <w:r>
        <w:rPr>
          <w:rFonts w:hint="eastAsia" w:ascii="仿宋_GB2312" w:hAnsi="仿宋_GB2312" w:eastAsia="仿宋_GB2312" w:cs="仿宋_GB2312"/>
          <w:sz w:val="30"/>
          <w:szCs w:val="30"/>
          <w:lang w:val="zh-CN"/>
        </w:rPr>
        <w:t>授权声明：</w:t>
      </w:r>
    </w:p>
    <w:p w14:paraId="6DD6435C">
      <w:pPr>
        <w:tabs>
          <w:tab w:val="left" w:pos="720"/>
          <w:tab w:val="left" w:pos="6300"/>
        </w:tabs>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（法定代表人姓名、职务）授权（被授权人姓名、职务）为</w:t>
      </w:r>
      <w:r>
        <w:rPr>
          <w:rFonts w:hint="eastAsia" w:ascii="仿宋_GB2312" w:hAnsi="仿宋_GB2312" w:eastAsia="仿宋_GB2312" w:cs="仿宋_GB2312"/>
          <w:sz w:val="30"/>
          <w:szCs w:val="30"/>
          <w:lang w:val="zh-CN"/>
        </w:rPr>
        <w:t>我方</w:t>
      </w:r>
      <w:r>
        <w:rPr>
          <w:rFonts w:hint="eastAsia" w:ascii="仿宋_GB2312" w:hAnsi="仿宋_GB2312" w:eastAsia="仿宋_GB2312" w:cs="仿宋_GB2312"/>
          <w:sz w:val="30"/>
          <w:szCs w:val="30"/>
          <w:u w:val="single"/>
          <w:lang w:val="zh-CN"/>
        </w:rPr>
        <w:t xml:space="preserve"> “                                          ”</w:t>
      </w:r>
      <w:r>
        <w:rPr>
          <w:rFonts w:hint="eastAsia" w:ascii="仿宋_GB2312" w:hAnsi="仿宋_GB2312" w:eastAsia="仿宋_GB2312" w:cs="仿宋_GB2312"/>
          <w:sz w:val="30"/>
          <w:szCs w:val="30"/>
          <w:lang w:val="zh-CN"/>
        </w:rPr>
        <w:t>项目遴选活动的合法代表，以我方名义全权处理该项目有关遴选、签订合同以及执行合同等一切事宜。</w:t>
      </w:r>
    </w:p>
    <w:p w14:paraId="0B4EC8E9">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特此声明。</w:t>
      </w:r>
    </w:p>
    <w:p w14:paraId="747E5741">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法定代表人签字：</w:t>
      </w:r>
    </w:p>
    <w:p w14:paraId="69C24B65">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授权代表签字：</w:t>
      </w:r>
    </w:p>
    <w:p w14:paraId="46147B39">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投标人名称：（加盖公章）</w:t>
      </w:r>
    </w:p>
    <w:p w14:paraId="41D25642">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日期：</w:t>
      </w:r>
    </w:p>
    <w:p w14:paraId="78E787BC">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说明：上述证明文件附有法定代表人、被授权代表身份证复印件（加盖公章）时才能生效。</w:t>
      </w:r>
    </w:p>
    <w:p w14:paraId="1379F0F7">
      <w:pPr>
        <w:rPr>
          <w:rFonts w:ascii="仿宋_GB2312" w:hAnsi="仿宋_GB2312" w:eastAsia="仿宋_GB2312" w:cs="仿宋_GB2312"/>
          <w:sz w:val="30"/>
          <w:szCs w:val="30"/>
        </w:rPr>
      </w:pPr>
    </w:p>
    <w:p w14:paraId="02A1D7D0">
      <w:pPr>
        <w:rPr>
          <w:rFonts w:ascii="仿宋_GB2312" w:hAnsi="仿宋_GB2312" w:eastAsia="仿宋_GB2312" w:cs="仿宋_GB2312"/>
          <w:sz w:val="32"/>
        </w:rPr>
      </w:pPr>
    </w:p>
    <w:p w14:paraId="16652097">
      <w:pPr>
        <w:rPr>
          <w:rFonts w:ascii="仿宋_GB2312" w:hAnsi="仿宋_GB2312" w:eastAsia="仿宋_GB2312" w:cs="仿宋_GB2312"/>
          <w:sz w:val="32"/>
        </w:rPr>
      </w:pPr>
    </w:p>
    <w:p w14:paraId="6F81ED35">
      <w:pPr>
        <w:rPr>
          <w:rFonts w:ascii="仿宋_GB2312" w:hAnsi="仿宋_GB2312" w:eastAsia="仿宋_GB2312" w:cs="仿宋_GB2312"/>
          <w:sz w:val="32"/>
        </w:rPr>
      </w:pPr>
    </w:p>
    <w:p w14:paraId="24BAC005">
      <w:pPr>
        <w:rPr>
          <w:rFonts w:ascii="仿宋" w:hAnsi="仿宋" w:eastAsia="仿宋" w:cs="仿宋"/>
          <w:sz w:val="32"/>
        </w:rPr>
      </w:pPr>
    </w:p>
    <w:p w14:paraId="6B1693F5">
      <w:pPr>
        <w:rPr>
          <w:rFonts w:ascii="仿宋" w:hAnsi="仿宋" w:eastAsia="仿宋" w:cs="仿宋"/>
          <w:sz w:val="32"/>
        </w:rPr>
      </w:pPr>
    </w:p>
    <w:p w14:paraId="5EA737CA">
      <w:pPr>
        <w:rPr>
          <w:rFonts w:ascii="仿宋" w:hAnsi="仿宋" w:eastAsia="仿宋" w:cs="仿宋"/>
          <w:sz w:val="32"/>
        </w:rPr>
      </w:pPr>
    </w:p>
    <w:p w14:paraId="22F9A3DB">
      <w:pPr>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hint="eastAsia" w:ascii="仿宋_GB2312" w:hAnsi="仿宋_GB2312" w:eastAsia="仿宋_GB2312" w:cs="仿宋_GB2312"/>
          <w:sz w:val="30"/>
          <w:szCs w:val="30"/>
          <w:lang w:val="en-US" w:eastAsia="zh-CN"/>
        </w:rPr>
        <w:t>7</w:t>
      </w:r>
      <w:r>
        <w:rPr>
          <w:rFonts w:hint="eastAsia" w:ascii="仿宋_GB2312" w:hAnsi="仿宋_GB2312" w:eastAsia="仿宋_GB2312" w:cs="仿宋_GB2312"/>
          <w:sz w:val="30"/>
          <w:szCs w:val="30"/>
        </w:rPr>
        <w:t>：</w:t>
      </w:r>
    </w:p>
    <w:p w14:paraId="148BF67F">
      <w:pPr>
        <w:adjustRightInd w:val="0"/>
        <w:snapToGrid w:val="0"/>
        <w:spacing w:line="480" w:lineRule="auto"/>
        <w:ind w:firstLine="640" w:firstLineChars="0"/>
        <w:jc w:val="center"/>
        <w:outlineLvl w:val="9"/>
        <w:rPr>
          <w:rFonts w:hint="eastAsia" w:ascii="仿宋" w:hAnsi="仿宋" w:eastAsia="仿宋"/>
          <w:b/>
          <w:sz w:val="32"/>
          <w:szCs w:val="28"/>
        </w:rPr>
      </w:pPr>
      <w:r>
        <w:rPr>
          <w:rFonts w:hint="eastAsia" w:ascii="仿宋" w:hAnsi="仿宋" w:eastAsia="仿宋"/>
          <w:b/>
          <w:sz w:val="32"/>
          <w:szCs w:val="28"/>
        </w:rPr>
        <w:t>反商业贿赂承诺书</w:t>
      </w:r>
    </w:p>
    <w:p w14:paraId="09214AD1">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为维护卫生行业的整体形象，保证合作的合法开展，维护贵院医疗、管理工作的正常秩序，保障广大患者的健康和利益，本厂家、商家、公司特郑重承诺如下：</w:t>
      </w:r>
    </w:p>
    <w:p w14:paraId="32A727D9">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一、严格按照《招标投标法》、《药品管理法》、《反不正当竞争法》等有关法律、法规、规章、政策的规定，规范遴选工作以及达成协议后的合作工作，保证做到合法遴选、正当竞争、廉洁经营。</w:t>
      </w:r>
    </w:p>
    <w:p w14:paraId="7B356433">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二、本厂家、商家、公司保证在遴选工作及合作工作中承诺做到：</w:t>
      </w:r>
    </w:p>
    <w:p w14:paraId="245F4458">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1.不与其他参选机构相互串通遴选报价，损害贵院的合法权益；</w:t>
      </w:r>
    </w:p>
    <w:p w14:paraId="5CF7A3A7">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2.不与其他参选机构串通遴选，损害国家利益、社会公共利益或他人的合法权益；</w:t>
      </w:r>
    </w:p>
    <w:p w14:paraId="390BF296">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3.不以向项目遴选方或者评审小组成员行贿的手段谋取中选；</w:t>
      </w:r>
    </w:p>
    <w:p w14:paraId="30F178B2">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4.遴选报价不违反相关法律的规定，也不以他人名义参加遴选或者以其他方式弄虚作假，骗取中选；</w:t>
      </w:r>
    </w:p>
    <w:p w14:paraId="3C0E65BA">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5.保证不以其他任何方式扰乱贵院的遴选工作；</w:t>
      </w:r>
    </w:p>
    <w:p w14:paraId="17B7B779">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6.保证不在遴选中采取账外暗中给予回扣的手段腐蚀、贿赂相关人员；</w:t>
      </w:r>
    </w:p>
    <w:p w14:paraId="6AFD1F14">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7.保证不以任何名义包括以宣传费、临床促销费、开单费、处方费、广告费、免费度假、考察旅游、房屋装修等任何名义给予贵院有关人员以财物或者其他利益；</w:t>
      </w:r>
    </w:p>
    <w:p w14:paraId="7BBCE2D5">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8.保证不干扰贵院的正常工作秩序；</w:t>
      </w:r>
    </w:p>
    <w:p w14:paraId="6A1E389B">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9.保证不以其他任何不正当竞争手段推销药品、医疗器械、设备、物资。</w:t>
      </w:r>
    </w:p>
    <w:p w14:paraId="72E64C72">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三、本厂家、商家、公司保证竭力维护贵院的声誉，不做任何有损贵院形象的事情。</w:t>
      </w:r>
    </w:p>
    <w:p w14:paraId="365DAE54">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本厂家、商家、公司保证加强对遴选、促销等工作的领导、监督和检查；加强对本厂家、商家、公司工作人员进行相关法律、法规、规章、政策等的教育工作，切实要求本厂家、商家、公司相关工作人员不得采取各类回扣手段腐蚀、贿赂相关人员。</w:t>
      </w:r>
    </w:p>
    <w:p w14:paraId="0D147581">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五、对本厂家、商家、公司及本厂家、商家、公司工作人员采取以上手段遴选、促销等，干扰贵院正常工作秩序，损害贵院形象的，本厂家、商家、公司保证：</w:t>
      </w:r>
    </w:p>
    <w:p w14:paraId="7C06E977">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1.对尚处在遴选阶段的，贵院有权取消本厂家、商家、公司的遴选资格；已经中选的，贵院有权取消中选；对已经获得准入资格的，贵院有权随时取消本厂家、商家、公司的准入资格；</w:t>
      </w:r>
    </w:p>
    <w:p w14:paraId="2522D332">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2.对本厂家、商家、公司相关工作人员作出严肃处理；</w:t>
      </w:r>
    </w:p>
    <w:p w14:paraId="410227D6">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3.对由于本厂家、商家、公司或本厂家、商家、公司工作人员的上述行为给贵院造成经济或名誉损失的，由本厂家、商家、公司负责，并愿意承担全部民事赔偿责任。</w:t>
      </w:r>
    </w:p>
    <w:p w14:paraId="022E04A9">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六、遴选项目名称：</w:t>
      </w:r>
    </w:p>
    <w:p w14:paraId="2C6F699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0"/>
          <w:szCs w:val="30"/>
        </w:rPr>
      </w:pPr>
    </w:p>
    <w:p w14:paraId="6A060EBE">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本《承诺书》一式二份（一份由承诺人自存；一份随竞价书传递）</w:t>
      </w:r>
    </w:p>
    <w:p w14:paraId="66543260">
      <w:pPr>
        <w:keepNext w:val="0"/>
        <w:keepLines w:val="0"/>
        <w:pageBreakBefore w:val="0"/>
        <w:widowControl w:val="0"/>
        <w:kinsoku/>
        <w:wordWrap/>
        <w:overflowPunct/>
        <w:topLinePunct w:val="0"/>
        <w:autoSpaceDE/>
        <w:autoSpaceDN/>
        <w:bidi w:val="0"/>
        <w:adjustRightInd/>
        <w:snapToGrid/>
        <w:spacing w:line="600" w:lineRule="exact"/>
        <w:ind w:firstLine="2850" w:firstLineChars="950"/>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承诺企业名称（公章）</w:t>
      </w:r>
    </w:p>
    <w:p w14:paraId="1F1AC7F9">
      <w:pPr>
        <w:ind w:firstLine="2850"/>
        <w:rPr>
          <w:rFonts w:ascii="仿宋_GB2312" w:hAnsi="仿宋_GB2312" w:eastAsia="仿宋_GB2312" w:cs="仿宋_GB2312"/>
          <w:sz w:val="30"/>
          <w:szCs w:val="30"/>
        </w:rPr>
      </w:pPr>
      <w:r>
        <w:rPr>
          <w:rFonts w:hint="eastAsia" w:ascii="仿宋_GB2312" w:hAnsi="仿宋_GB2312" w:eastAsia="仿宋_GB2312" w:cs="仿宋_GB2312"/>
          <w:sz w:val="30"/>
          <w:szCs w:val="30"/>
        </w:rPr>
        <w:t>法人代表或委托代理人（承诺人）</w:t>
      </w:r>
    </w:p>
    <w:p w14:paraId="5D781941">
      <w:pPr>
        <w:rPr>
          <w:rFonts w:ascii="仿宋_GB2312" w:hAnsi="仿宋_GB2312" w:eastAsia="仿宋_GB2312" w:cs="仿宋_GB2312"/>
          <w:sz w:val="30"/>
          <w:szCs w:val="30"/>
        </w:rPr>
      </w:pPr>
    </w:p>
    <w:p w14:paraId="65E7FB86">
      <w:pPr>
        <w:rPr>
          <w:rFonts w:ascii="仿宋" w:hAnsi="仿宋" w:eastAsia="仿宋" w:cs="仿宋"/>
          <w:sz w:val="30"/>
        </w:rPr>
      </w:pPr>
    </w:p>
    <w:p w14:paraId="4D274265">
      <w:pPr>
        <w:rPr>
          <w:rFonts w:ascii="仿宋" w:hAnsi="仿宋" w:eastAsia="仿宋" w:cs="仿宋"/>
          <w:sz w:val="30"/>
        </w:rPr>
      </w:pPr>
    </w:p>
    <w:p w14:paraId="0BC17298">
      <w:pPr>
        <w:rPr>
          <w:rFonts w:ascii="仿宋" w:hAnsi="仿宋" w:eastAsia="仿宋" w:cs="仿宋"/>
          <w:sz w:val="30"/>
        </w:rPr>
      </w:pPr>
    </w:p>
    <w:p w14:paraId="51932B38">
      <w:pPr>
        <w:rPr>
          <w:rFonts w:ascii="仿宋" w:hAnsi="仿宋" w:eastAsia="仿宋" w:cs="仿宋"/>
          <w:sz w:val="30"/>
        </w:rPr>
      </w:pPr>
    </w:p>
    <w:p w14:paraId="3F34534A">
      <w:pPr>
        <w:pStyle w:val="2"/>
        <w:rPr>
          <w:rFonts w:ascii="仿宋" w:hAnsi="仿宋" w:eastAsia="仿宋" w:cs="仿宋"/>
          <w:sz w:val="30"/>
        </w:rPr>
      </w:pPr>
    </w:p>
    <w:p w14:paraId="0081A4A3">
      <w:pPr>
        <w:rPr>
          <w:rFonts w:ascii="仿宋" w:hAnsi="仿宋" w:eastAsia="仿宋" w:cs="仿宋"/>
          <w:sz w:val="30"/>
        </w:rPr>
      </w:pPr>
    </w:p>
    <w:p w14:paraId="67DE3BB1">
      <w:pPr>
        <w:pStyle w:val="2"/>
        <w:rPr>
          <w:rFonts w:ascii="仿宋" w:hAnsi="仿宋" w:eastAsia="仿宋" w:cs="仿宋"/>
          <w:sz w:val="30"/>
        </w:rPr>
      </w:pPr>
    </w:p>
    <w:p w14:paraId="2A01739E">
      <w:pPr>
        <w:rPr>
          <w:rFonts w:ascii="仿宋" w:hAnsi="仿宋" w:eastAsia="仿宋" w:cs="仿宋"/>
          <w:sz w:val="30"/>
        </w:rPr>
      </w:pPr>
    </w:p>
    <w:p w14:paraId="3A842581">
      <w:pPr>
        <w:pStyle w:val="2"/>
        <w:rPr>
          <w:rFonts w:ascii="仿宋" w:hAnsi="仿宋" w:eastAsia="仿宋" w:cs="仿宋"/>
          <w:sz w:val="30"/>
        </w:rPr>
      </w:pPr>
    </w:p>
    <w:p w14:paraId="11F03520">
      <w:pPr>
        <w:rPr>
          <w:rFonts w:ascii="仿宋" w:hAnsi="仿宋" w:eastAsia="仿宋" w:cs="仿宋"/>
          <w:sz w:val="30"/>
        </w:rPr>
      </w:pPr>
    </w:p>
    <w:p w14:paraId="0D9610CF">
      <w:pPr>
        <w:pStyle w:val="2"/>
        <w:rPr>
          <w:rFonts w:ascii="仿宋" w:hAnsi="仿宋" w:eastAsia="仿宋" w:cs="仿宋"/>
          <w:sz w:val="30"/>
        </w:rPr>
      </w:pPr>
    </w:p>
    <w:p w14:paraId="2F353496">
      <w:pPr>
        <w:rPr>
          <w:rFonts w:ascii="仿宋" w:hAnsi="仿宋" w:eastAsia="仿宋" w:cs="仿宋"/>
          <w:sz w:val="30"/>
        </w:rPr>
      </w:pPr>
    </w:p>
    <w:p w14:paraId="6ACBEB83">
      <w:pPr>
        <w:pStyle w:val="2"/>
        <w:rPr>
          <w:rFonts w:ascii="仿宋" w:hAnsi="仿宋" w:eastAsia="仿宋" w:cs="仿宋"/>
          <w:sz w:val="30"/>
        </w:rPr>
      </w:pPr>
    </w:p>
    <w:p w14:paraId="60D57DC0">
      <w:pPr>
        <w:outlineLvl w:val="0"/>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附件8：</w:t>
      </w:r>
    </w:p>
    <w:p w14:paraId="57558665">
      <w:pPr>
        <w:adjustRightInd w:val="0"/>
        <w:snapToGrid w:val="0"/>
        <w:spacing w:line="480" w:lineRule="auto"/>
        <w:ind w:firstLine="640" w:firstLineChars="0"/>
        <w:jc w:val="center"/>
        <w:outlineLvl w:val="9"/>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lang w:eastAsia="zh-CN"/>
        </w:rPr>
        <w:t>参选机构</w:t>
      </w:r>
      <w:r>
        <w:rPr>
          <w:rFonts w:hint="eastAsia" w:ascii="仿宋_GB2312" w:hAnsi="仿宋_GB2312" w:eastAsia="仿宋_GB2312" w:cs="仿宋_GB2312"/>
          <w:b/>
          <w:sz w:val="30"/>
          <w:szCs w:val="30"/>
          <w:highlight w:val="none"/>
        </w:rPr>
        <w:t>遵守</w:t>
      </w:r>
      <w:r>
        <w:rPr>
          <w:rFonts w:hint="eastAsia" w:ascii="仿宋_GB2312" w:hAnsi="仿宋_GB2312" w:eastAsia="仿宋_GB2312" w:cs="仿宋_GB2312"/>
          <w:b/>
          <w:sz w:val="30"/>
          <w:szCs w:val="30"/>
          <w:highlight w:val="none"/>
          <w:lang w:eastAsia="zh-CN"/>
        </w:rPr>
        <w:t>遴选</w:t>
      </w:r>
      <w:r>
        <w:rPr>
          <w:rFonts w:hint="eastAsia" w:ascii="仿宋_GB2312" w:hAnsi="仿宋_GB2312" w:eastAsia="仿宋_GB2312" w:cs="仿宋_GB2312"/>
          <w:b/>
          <w:sz w:val="30"/>
          <w:szCs w:val="30"/>
          <w:highlight w:val="none"/>
        </w:rPr>
        <w:t>纪律承诺书</w:t>
      </w:r>
    </w:p>
    <w:p w14:paraId="5C63E200">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p>
    <w:p w14:paraId="5D11766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致四川省妇幼保健院：</w:t>
      </w:r>
    </w:p>
    <w:p w14:paraId="56F10A07">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我单位作为本次</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项目的</w:t>
      </w: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，根据响应文件要求，现郑重承诺如下：</w:t>
      </w:r>
    </w:p>
    <w:p w14:paraId="5ED90109">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一、参加本次</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活动，我单位不存在与单位负责人为同一人或者存在直接控股、管理关系的其他</w:t>
      </w: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参与同一合同项下的</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活动的行为。</w:t>
      </w:r>
    </w:p>
    <w:p w14:paraId="45CA17B7">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二、参加本次</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活动，不得直接或者间接从</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人处获得其他</w:t>
      </w: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的相关情况并修改其投标文件或者响应文件。</w:t>
      </w:r>
    </w:p>
    <w:p w14:paraId="479D8F20">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三、参加本次</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活动，不得按照</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人的授意撤换、修改投标文件或者响应文件。</w:t>
      </w:r>
    </w:p>
    <w:p w14:paraId="07799275">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四、参加本次</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活动，不得和本次</w:t>
      </w:r>
      <w:r>
        <w:rPr>
          <w:rFonts w:hint="eastAsia" w:ascii="仿宋_GB2312" w:hAnsi="仿宋_GB2312" w:eastAsia="仿宋_GB2312" w:cs="仿宋_GB2312"/>
          <w:sz w:val="30"/>
          <w:szCs w:val="30"/>
          <w:lang w:eastAsia="zh-CN"/>
        </w:rPr>
        <w:t>遴选参选机构</w:t>
      </w:r>
      <w:r>
        <w:rPr>
          <w:rFonts w:hint="eastAsia" w:ascii="仿宋_GB2312" w:hAnsi="仿宋_GB2312" w:eastAsia="仿宋_GB2312" w:cs="仿宋_GB2312"/>
          <w:sz w:val="30"/>
          <w:szCs w:val="30"/>
        </w:rPr>
        <w:t>之间协商报价、技术方案等投标文件或者响应文件的实质性内容。</w:t>
      </w:r>
    </w:p>
    <w:p w14:paraId="20459229">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五、本次</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活动中，不存在属于同一集团、协会、商会等组织成员的</w:t>
      </w: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按照该组织要求协同参加本次</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w:t>
      </w:r>
    </w:p>
    <w:p w14:paraId="398581D3">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六、参加本次</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活动，不存在与其他</w:t>
      </w: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之间事先约定由某一特定</w:t>
      </w: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中标、成交。</w:t>
      </w:r>
    </w:p>
    <w:p w14:paraId="1DA3A02D">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七、参加本次</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活动，不存在与其他</w:t>
      </w: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商定部分</w:t>
      </w: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放弃参加</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活动或者放弃中标、成交。</w:t>
      </w:r>
    </w:p>
    <w:p w14:paraId="4150898D">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八、参加本次</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活动，不存在我单位的投标文件或者响应文件由其他参与本项目的单位或个人编制或委托办理投标事宜。</w:t>
      </w:r>
    </w:p>
    <w:p w14:paraId="75108C4A">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九、参加本次</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活动，不存在我单位与</w:t>
      </w:r>
      <w:r>
        <w:rPr>
          <w:rFonts w:hint="eastAsia" w:ascii="仿宋_GB2312" w:hAnsi="仿宋_GB2312" w:eastAsia="仿宋_GB2312" w:cs="仿宋_GB2312"/>
          <w:sz w:val="30"/>
          <w:szCs w:val="30"/>
          <w:lang w:eastAsia="zh-CN"/>
        </w:rPr>
        <w:t>遴选</w:t>
      </w:r>
      <w:r>
        <w:rPr>
          <w:rFonts w:hint="eastAsia" w:ascii="仿宋_GB2312" w:hAnsi="仿宋_GB2312" w:eastAsia="仿宋_GB2312" w:cs="仿宋_GB2312"/>
          <w:sz w:val="30"/>
          <w:szCs w:val="30"/>
        </w:rPr>
        <w:t>人之间、</w:t>
      </w: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相互之间，为谋求特定</w:t>
      </w: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中标、成交或者排斥其他</w:t>
      </w: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的其他串通行为。</w:t>
      </w:r>
    </w:p>
    <w:p w14:paraId="5D9DD1AC">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十、与我方存在直接控股关系的单位为：</w:t>
      </w:r>
      <w:r>
        <w:rPr>
          <w:rFonts w:hint="eastAsia" w:ascii="仿宋_GB2312" w:hAnsi="仿宋_GB2312" w:eastAsia="仿宋_GB2312" w:cs="仿宋_GB2312"/>
          <w:sz w:val="30"/>
          <w:szCs w:val="30"/>
          <w:u w:val="single"/>
        </w:rPr>
        <w:t>XXXXXX</w:t>
      </w:r>
      <w:r>
        <w:rPr>
          <w:rFonts w:hint="eastAsia" w:ascii="仿宋_GB2312" w:hAnsi="仿宋_GB2312" w:eastAsia="仿宋_GB2312" w:cs="仿宋_GB2312"/>
          <w:sz w:val="30"/>
          <w:szCs w:val="30"/>
        </w:rPr>
        <w:t>；存在管理关系单位为：</w:t>
      </w:r>
      <w:r>
        <w:rPr>
          <w:rFonts w:hint="eastAsia" w:ascii="仿宋_GB2312" w:hAnsi="仿宋_GB2312" w:eastAsia="仿宋_GB2312" w:cs="仿宋_GB2312"/>
          <w:sz w:val="30"/>
          <w:szCs w:val="30"/>
          <w:u w:val="single"/>
        </w:rPr>
        <w:t>XXXXXX</w:t>
      </w:r>
      <w:r>
        <w:rPr>
          <w:rFonts w:hint="eastAsia" w:ascii="仿宋_GB2312" w:hAnsi="仿宋_GB2312" w:eastAsia="仿宋_GB2312" w:cs="仿宋_GB2312"/>
          <w:sz w:val="30"/>
          <w:szCs w:val="30"/>
        </w:rPr>
        <w:t>。</w:t>
      </w:r>
    </w:p>
    <w:p w14:paraId="29D40934">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6DA1F88D">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p>
    <w:p w14:paraId="63AA3D2A">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参选机构</w:t>
      </w:r>
      <w:r>
        <w:rPr>
          <w:rFonts w:hint="eastAsia" w:ascii="仿宋_GB2312" w:hAnsi="仿宋_GB2312" w:eastAsia="仿宋_GB2312" w:cs="仿宋_GB2312"/>
          <w:sz w:val="30"/>
          <w:szCs w:val="30"/>
        </w:rPr>
        <w:t>名称（单位公章）：</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p>
    <w:p w14:paraId="23509CA4">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法定代表人/单位负责人或授权代表</w:t>
      </w:r>
    </w:p>
    <w:p w14:paraId="2BA76C14">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（签字或加盖个人名章）：</w:t>
      </w:r>
    </w:p>
    <w:p w14:paraId="6EEB899C">
      <w:pPr>
        <w:pStyle w:val="2"/>
        <w:rPr>
          <w:rFonts w:ascii="仿宋" w:hAnsi="仿宋" w:eastAsia="仿宋" w:cs="仿宋"/>
          <w:sz w:val="30"/>
        </w:rPr>
      </w:pPr>
    </w:p>
    <w:p w14:paraId="29B8EF73">
      <w:pPr>
        <w:sectPr>
          <w:pgSz w:w="11906" w:h="16838"/>
          <w:pgMar w:top="1440" w:right="1800" w:bottom="1440" w:left="1800" w:header="851" w:footer="992" w:gutter="0"/>
          <w:cols w:space="425" w:num="1"/>
          <w:docGrid w:type="lines" w:linePitch="312" w:charSpace="0"/>
        </w:sectPr>
      </w:pPr>
    </w:p>
    <w:p w14:paraId="4C95E3D6">
      <w:pPr>
        <w:jc w:val="left"/>
        <w:outlineLvl w:val="0"/>
        <w:rPr>
          <w:rFonts w:ascii="仿宋_GB2312" w:hAnsi="仿宋_GB2312" w:eastAsia="仿宋_GB2312" w:cs="仿宋_GB2312"/>
          <w:b/>
          <w:bCs/>
          <w:sz w:val="30"/>
        </w:rPr>
      </w:pPr>
      <w:r>
        <w:rPr>
          <w:rFonts w:hint="eastAsia" w:ascii="仿宋_GB2312" w:hAnsi="仿宋_GB2312" w:eastAsia="仿宋_GB2312" w:cs="仿宋_GB2312"/>
          <w:sz w:val="30"/>
        </w:rPr>
        <w:t>附件</w:t>
      </w:r>
      <w:r>
        <w:rPr>
          <w:rFonts w:hint="eastAsia" w:ascii="仿宋_GB2312" w:hAnsi="仿宋_GB2312" w:eastAsia="仿宋_GB2312" w:cs="仿宋_GB2312"/>
          <w:sz w:val="30"/>
          <w:lang w:val="en-US" w:eastAsia="zh-CN"/>
        </w:rPr>
        <w:t>9</w:t>
      </w:r>
      <w:r>
        <w:rPr>
          <w:rFonts w:hint="eastAsia" w:ascii="仿宋_GB2312" w:hAnsi="仿宋_GB2312" w:eastAsia="仿宋_GB2312" w:cs="仿宋_GB2312"/>
          <w:sz w:val="30"/>
        </w:rPr>
        <w:t xml:space="preserve">： </w:t>
      </w:r>
      <w:r>
        <w:rPr>
          <w:rFonts w:hint="eastAsia" w:ascii="仿宋_GB2312" w:hAnsi="仿宋_GB2312" w:eastAsia="仿宋_GB2312" w:cs="仿宋_GB2312"/>
          <w:sz w:val="30"/>
          <w:lang w:val="en-US" w:eastAsia="zh-CN"/>
        </w:rPr>
        <w:t xml:space="preserve">                         </w:t>
      </w:r>
      <w:r>
        <w:rPr>
          <w:rFonts w:hint="eastAsia" w:ascii="仿宋_GB2312" w:hAnsi="仿宋_GB2312" w:eastAsia="仿宋_GB2312" w:cs="仿宋_GB2312"/>
          <w:b/>
          <w:bCs/>
          <w:sz w:val="30"/>
        </w:rPr>
        <w:t>评审办法（综合评分明细表）</w:t>
      </w:r>
    </w:p>
    <w:p w14:paraId="3F230A6E">
      <w:pPr>
        <w:rPr>
          <w:rFonts w:ascii="仿宋" w:hAnsi="仿宋" w:eastAsia="仿宋" w:cs="仿宋"/>
          <w:sz w:val="30"/>
        </w:rPr>
      </w:pPr>
    </w:p>
    <w:tbl>
      <w:tblPr>
        <w:tblStyle w:val="6"/>
        <w:tblW w:w="4997" w:type="pct"/>
        <w:jc w:val="center"/>
        <w:tblLayout w:type="autofit"/>
        <w:tblCellMar>
          <w:top w:w="0" w:type="dxa"/>
          <w:left w:w="0" w:type="dxa"/>
          <w:bottom w:w="0" w:type="dxa"/>
          <w:right w:w="0" w:type="dxa"/>
        </w:tblCellMar>
      </w:tblPr>
      <w:tblGrid>
        <w:gridCol w:w="649"/>
        <w:gridCol w:w="2758"/>
        <w:gridCol w:w="1049"/>
        <w:gridCol w:w="6173"/>
        <w:gridCol w:w="3351"/>
      </w:tblGrid>
      <w:tr w14:paraId="37F5947C">
        <w:tblPrEx>
          <w:tblCellMar>
            <w:top w:w="0" w:type="dxa"/>
            <w:left w:w="0" w:type="dxa"/>
            <w:bottom w:w="0" w:type="dxa"/>
            <w:right w:w="0" w:type="dxa"/>
          </w:tblCellMar>
        </w:tblPrEx>
        <w:trPr>
          <w:trHeight w:val="465" w:hRule="atLeast"/>
          <w:jc w:val="center"/>
        </w:trPr>
        <w:tc>
          <w:tcPr>
            <w:tcW w:w="232" w:type="pct"/>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14:paraId="74DB908F">
            <w:pPr>
              <w:widowControl/>
              <w:jc w:val="center"/>
              <w:textAlignment w:val="center"/>
              <w:rPr>
                <w:rFonts w:ascii="黑体" w:hAnsi="黑体" w:eastAsia="黑体" w:cs="黑体"/>
                <w:bCs/>
                <w:color w:val="000000"/>
                <w:sz w:val="24"/>
                <w:szCs w:val="24"/>
              </w:rPr>
            </w:pPr>
            <w:r>
              <w:rPr>
                <w:rFonts w:hint="eastAsia" w:ascii="黑体" w:hAnsi="黑体" w:eastAsia="黑体" w:cs="黑体"/>
                <w:bCs/>
                <w:color w:val="000000"/>
                <w:kern w:val="0"/>
                <w:sz w:val="24"/>
                <w:szCs w:val="24"/>
              </w:rPr>
              <w:t>序号</w:t>
            </w:r>
          </w:p>
        </w:tc>
        <w:tc>
          <w:tcPr>
            <w:tcW w:w="986"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2ED29326">
            <w:pPr>
              <w:widowControl/>
              <w:jc w:val="center"/>
              <w:textAlignment w:val="center"/>
              <w:rPr>
                <w:rFonts w:ascii="黑体" w:hAnsi="黑体" w:eastAsia="黑体" w:cs="黑体"/>
                <w:bCs/>
                <w:color w:val="000000"/>
                <w:sz w:val="24"/>
                <w:szCs w:val="24"/>
              </w:rPr>
            </w:pPr>
            <w:r>
              <w:rPr>
                <w:rFonts w:hint="eastAsia" w:ascii="黑体" w:hAnsi="黑体" w:eastAsia="黑体" w:cs="黑体"/>
                <w:bCs/>
                <w:color w:val="000000"/>
                <w:kern w:val="0"/>
                <w:sz w:val="24"/>
                <w:szCs w:val="24"/>
              </w:rPr>
              <w:t>评分因素及权重</w:t>
            </w:r>
          </w:p>
        </w:tc>
        <w:tc>
          <w:tcPr>
            <w:tcW w:w="375" w:type="pc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76918A16">
            <w:pPr>
              <w:widowControl/>
              <w:jc w:val="center"/>
              <w:textAlignment w:val="center"/>
              <w:rPr>
                <w:rFonts w:ascii="黑体" w:hAnsi="黑体" w:eastAsia="黑体" w:cs="黑体"/>
                <w:bCs/>
                <w:color w:val="000000"/>
                <w:sz w:val="24"/>
                <w:szCs w:val="24"/>
              </w:rPr>
            </w:pPr>
            <w:r>
              <w:rPr>
                <w:rFonts w:hint="eastAsia" w:ascii="黑体" w:hAnsi="黑体" w:eastAsia="黑体" w:cs="黑体"/>
                <w:bCs/>
                <w:color w:val="000000"/>
                <w:kern w:val="0"/>
                <w:sz w:val="24"/>
                <w:szCs w:val="24"/>
              </w:rPr>
              <w:t>分值</w:t>
            </w:r>
          </w:p>
        </w:tc>
        <w:tc>
          <w:tcPr>
            <w:tcW w:w="2207"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5789AFBA">
            <w:pPr>
              <w:widowControl/>
              <w:jc w:val="center"/>
              <w:textAlignment w:val="center"/>
              <w:rPr>
                <w:rFonts w:ascii="黑体" w:hAnsi="黑体" w:eastAsia="黑体" w:cs="黑体"/>
                <w:bCs/>
                <w:color w:val="000000"/>
                <w:sz w:val="24"/>
                <w:szCs w:val="24"/>
              </w:rPr>
            </w:pPr>
            <w:r>
              <w:rPr>
                <w:rFonts w:hint="eastAsia" w:ascii="黑体" w:hAnsi="黑体" w:eastAsia="黑体" w:cs="黑体"/>
                <w:bCs/>
                <w:color w:val="000000"/>
                <w:kern w:val="0"/>
                <w:sz w:val="24"/>
                <w:szCs w:val="24"/>
              </w:rPr>
              <w:t>评分标准</w:t>
            </w:r>
          </w:p>
        </w:tc>
        <w:tc>
          <w:tcPr>
            <w:tcW w:w="119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67ED9B59">
            <w:pPr>
              <w:widowControl/>
              <w:jc w:val="center"/>
              <w:textAlignment w:val="center"/>
              <w:rPr>
                <w:rFonts w:ascii="黑体" w:hAnsi="黑体" w:eastAsia="黑体" w:cs="黑体"/>
                <w:bCs/>
                <w:color w:val="000000"/>
                <w:sz w:val="24"/>
                <w:szCs w:val="24"/>
              </w:rPr>
            </w:pPr>
            <w:r>
              <w:rPr>
                <w:rFonts w:hint="eastAsia" w:ascii="黑体" w:hAnsi="黑体" w:eastAsia="黑体" w:cs="黑体"/>
                <w:bCs/>
                <w:color w:val="000000"/>
                <w:kern w:val="0"/>
                <w:sz w:val="24"/>
                <w:szCs w:val="24"/>
              </w:rPr>
              <w:t>备注</w:t>
            </w:r>
          </w:p>
        </w:tc>
      </w:tr>
      <w:tr w14:paraId="15813249">
        <w:tblPrEx>
          <w:tblCellMar>
            <w:top w:w="0" w:type="dxa"/>
            <w:left w:w="0" w:type="dxa"/>
            <w:bottom w:w="0" w:type="dxa"/>
            <w:right w:w="0" w:type="dxa"/>
          </w:tblCellMar>
        </w:tblPrEx>
        <w:trPr>
          <w:trHeight w:val="1440" w:hRule="atLeast"/>
          <w:jc w:val="center"/>
        </w:trPr>
        <w:tc>
          <w:tcPr>
            <w:tcW w:w="232" w:type="pct"/>
            <w:vMerge w:val="restart"/>
            <w:tcBorders>
              <w:top w:val="single" w:color="000000" w:sz="8" w:space="0"/>
              <w:left w:val="single" w:color="000000" w:sz="8" w:space="0"/>
              <w:right w:val="single" w:color="000000" w:sz="8" w:space="0"/>
            </w:tcBorders>
            <w:shd w:val="clear" w:color="auto" w:fill="auto"/>
            <w:tcMar>
              <w:top w:w="15" w:type="dxa"/>
              <w:left w:w="15" w:type="dxa"/>
              <w:right w:w="15" w:type="dxa"/>
            </w:tcMar>
            <w:vAlign w:val="center"/>
          </w:tcPr>
          <w:p w14:paraId="773976AA">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1</w:t>
            </w:r>
          </w:p>
        </w:tc>
        <w:tc>
          <w:tcPr>
            <w:tcW w:w="986" w:type="pct"/>
            <w:vMerge w:val="restart"/>
            <w:tcBorders>
              <w:top w:val="nil"/>
              <w:left w:val="single" w:color="000000" w:sz="8" w:space="0"/>
              <w:right w:val="single" w:color="000000" w:sz="8" w:space="0"/>
            </w:tcBorders>
            <w:shd w:val="clear" w:color="auto" w:fill="auto"/>
            <w:tcMar>
              <w:top w:w="15" w:type="dxa"/>
              <w:left w:w="15" w:type="dxa"/>
              <w:right w:w="15" w:type="dxa"/>
            </w:tcMar>
            <w:vAlign w:val="center"/>
          </w:tcPr>
          <w:p w14:paraId="7193D648">
            <w:pPr>
              <w:widowControl/>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费用报价</w:t>
            </w:r>
            <w:r>
              <w:rPr>
                <w:rFonts w:hint="eastAsia" w:ascii="仿宋_GB2312" w:hAnsi="仿宋_GB2312" w:eastAsia="仿宋_GB2312" w:cs="仿宋_GB2312"/>
                <w:color w:val="000000"/>
                <w:kern w:val="0"/>
                <w:sz w:val="24"/>
                <w:szCs w:val="24"/>
              </w:rPr>
              <w:br w:type="textWrapping"/>
            </w:r>
            <w:r>
              <w:rPr>
                <w:rFonts w:hint="eastAsia" w:ascii="仿宋_GB2312" w:hAnsi="仿宋_GB2312" w:eastAsia="仿宋_GB2312" w:cs="仿宋_GB2312"/>
                <w:color w:val="000000"/>
                <w:kern w:val="0"/>
                <w:sz w:val="24"/>
                <w:szCs w:val="24"/>
              </w:rPr>
              <w:t>（</w:t>
            </w:r>
            <w:r>
              <w:rPr>
                <w:rFonts w:hint="eastAsia" w:ascii="仿宋_GB2312" w:hAnsi="仿宋_GB2312" w:eastAsia="仿宋_GB2312" w:cs="仿宋_GB2312"/>
                <w:color w:val="000000"/>
                <w:kern w:val="0"/>
                <w:sz w:val="24"/>
                <w:szCs w:val="24"/>
                <w:lang w:val="en-US" w:eastAsia="zh-CN"/>
              </w:rPr>
              <w:t>16</w:t>
            </w:r>
            <w:r>
              <w:rPr>
                <w:rFonts w:hint="eastAsia" w:ascii="仿宋_GB2312" w:hAnsi="仿宋_GB2312" w:eastAsia="仿宋_GB2312" w:cs="仿宋_GB2312"/>
                <w:color w:val="000000"/>
                <w:kern w:val="0"/>
                <w:sz w:val="24"/>
                <w:szCs w:val="24"/>
              </w:rPr>
              <w:t>%）</w:t>
            </w:r>
          </w:p>
        </w:tc>
        <w:tc>
          <w:tcPr>
            <w:tcW w:w="375"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14D42D49">
            <w:pPr>
              <w:widowControl/>
              <w:jc w:val="center"/>
              <w:textAlignment w:val="center"/>
              <w:rPr>
                <w:rFonts w:hint="eastAsia" w:ascii="仿宋_GB2312" w:hAnsi="仿宋_GB2312" w:eastAsia="仿宋_GB2312" w:cs="仿宋_GB2312"/>
                <w:bCs/>
                <w:color w:val="000000"/>
                <w:sz w:val="24"/>
                <w:szCs w:val="24"/>
                <w:lang w:val="en-US" w:eastAsia="zh-CN"/>
              </w:rPr>
            </w:pPr>
            <w:r>
              <w:rPr>
                <w:rFonts w:hint="eastAsia" w:ascii="仿宋_GB2312" w:hAnsi="仿宋_GB2312" w:eastAsia="仿宋_GB2312" w:cs="仿宋_GB2312"/>
                <w:bCs/>
                <w:color w:val="000000"/>
                <w:kern w:val="0"/>
                <w:sz w:val="24"/>
                <w:szCs w:val="24"/>
                <w:lang w:val="en-US" w:eastAsia="zh-CN"/>
              </w:rPr>
              <w:t>8</w:t>
            </w:r>
          </w:p>
        </w:tc>
        <w:tc>
          <w:tcPr>
            <w:tcW w:w="2207"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87D4F4D">
            <w:pPr>
              <w:pStyle w:val="2"/>
              <w:rPr>
                <w:rFonts w:hint="eastAsia" w:ascii="仿宋_GB2312" w:hAnsi="仿宋_GB2312" w:eastAsia="仿宋_GB2312" w:cs="仿宋_GB2312"/>
              </w:rPr>
            </w:pPr>
            <w:r>
              <w:rPr>
                <w:rFonts w:hint="eastAsia" w:ascii="仿宋_GB2312" w:hAnsi="仿宋_GB2312" w:eastAsia="仿宋_GB2312" w:cs="仿宋_GB2312"/>
                <w:color w:val="000000"/>
                <w:kern w:val="0"/>
                <w:sz w:val="22"/>
                <w:lang w:val="en-US" w:eastAsia="zh-CN"/>
              </w:rPr>
              <w:t>1.院外产诊产筛医院模式：</w:t>
            </w:r>
            <w:r>
              <w:rPr>
                <w:rFonts w:hint="eastAsia" w:ascii="仿宋_GB2312" w:hAnsi="仿宋_GB2312" w:eastAsia="仿宋_GB2312" w:cs="仿宋_GB2312"/>
                <w:sz w:val="22"/>
              </w:rPr>
              <w:t>有效</w:t>
            </w:r>
            <w:r>
              <w:rPr>
                <w:rFonts w:hint="eastAsia" w:ascii="仿宋_GB2312" w:hAnsi="仿宋_GB2312" w:eastAsia="仿宋_GB2312" w:cs="仿宋_GB2312"/>
                <w:sz w:val="22"/>
                <w:lang w:eastAsia="zh-CN"/>
              </w:rPr>
              <w:t>参选单位</w:t>
            </w:r>
            <w:r>
              <w:rPr>
                <w:rFonts w:hint="eastAsia" w:ascii="仿宋_GB2312" w:hAnsi="仿宋_GB2312" w:eastAsia="仿宋_GB2312" w:cs="仿宋_GB2312"/>
                <w:sz w:val="22"/>
              </w:rPr>
              <w:t>的平均报价为评标基准价，高于或等于评标基准价，其价格分为满分。其他投标人的价格分统一按照下列公式计算：投标报价得分=（投标报价/评标基准价）×</w:t>
            </w:r>
            <w:r>
              <w:rPr>
                <w:rFonts w:hint="eastAsia" w:ascii="仿宋_GB2312" w:hAnsi="仿宋_GB2312" w:eastAsia="仿宋_GB2312" w:cs="仿宋_GB2312"/>
                <w:sz w:val="22"/>
                <w:lang w:val="en-US" w:eastAsia="zh-CN"/>
              </w:rPr>
              <w:t>8。</w:t>
            </w:r>
          </w:p>
        </w:tc>
        <w:tc>
          <w:tcPr>
            <w:tcW w:w="1198" w:type="pct"/>
            <w:vMerge w:val="restart"/>
            <w:tcBorders>
              <w:top w:val="single" w:color="000000" w:sz="8" w:space="0"/>
              <w:left w:val="single" w:color="000000" w:sz="8" w:space="0"/>
              <w:right w:val="single" w:color="000000" w:sz="8" w:space="0"/>
            </w:tcBorders>
            <w:shd w:val="clear" w:color="auto" w:fill="auto"/>
            <w:tcMar>
              <w:top w:w="15" w:type="dxa"/>
              <w:left w:w="15" w:type="dxa"/>
              <w:right w:w="15" w:type="dxa"/>
            </w:tcMar>
            <w:vAlign w:val="center"/>
          </w:tcPr>
          <w:p w14:paraId="577D6797">
            <w:pPr>
              <w:spacing w:line="240" w:lineRule="auto"/>
              <w:ind w:firstLine="0" w:firstLineChars="0"/>
              <w:jc w:val="left"/>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eastAsia="zh-CN"/>
              </w:rPr>
              <w:t>1</w:t>
            </w:r>
            <w:r>
              <w:rPr>
                <w:rFonts w:hint="eastAsia" w:ascii="仿宋_GB2312" w:hAnsi="仿宋_GB2312" w:eastAsia="仿宋_GB2312" w:cs="仿宋_GB2312"/>
                <w:color w:val="000000"/>
                <w:sz w:val="24"/>
                <w:szCs w:val="24"/>
                <w:highlight w:val="none"/>
                <w:lang w:val="en-US" w:eastAsia="zh-CN"/>
              </w:rPr>
              <w:t>.</w:t>
            </w:r>
            <w:r>
              <w:rPr>
                <w:rFonts w:hint="eastAsia" w:ascii="仿宋_GB2312" w:hAnsi="仿宋_GB2312" w:eastAsia="仿宋_GB2312" w:cs="仿宋_GB2312"/>
                <w:color w:val="000000"/>
                <w:sz w:val="24"/>
                <w:szCs w:val="24"/>
                <w:highlight w:val="none"/>
              </w:rPr>
              <w:t>院外产诊产筛医院模式</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我院在本项目合作下的每一例收益分配不低于本项目在四川省各地物价收费标准的</w:t>
            </w:r>
            <w:r>
              <w:rPr>
                <w:rFonts w:hint="eastAsia" w:ascii="仿宋_GB2312" w:hAnsi="仿宋_GB2312" w:eastAsia="仿宋_GB2312" w:cs="仿宋_GB2312"/>
                <w:color w:val="000000"/>
                <w:sz w:val="24"/>
                <w:szCs w:val="24"/>
                <w:highlight w:val="none"/>
                <w:lang w:eastAsia="zh-CN"/>
              </w:rPr>
              <w:t>2</w:t>
            </w:r>
            <w:r>
              <w:rPr>
                <w:rFonts w:hint="eastAsia" w:ascii="仿宋_GB2312" w:hAnsi="仿宋_GB2312" w:eastAsia="仿宋_GB2312" w:cs="仿宋_GB2312"/>
                <w:color w:val="000000"/>
                <w:sz w:val="24"/>
                <w:szCs w:val="24"/>
                <w:highlight w:val="none"/>
                <w:lang w:val="en-US" w:eastAsia="zh-CN"/>
              </w:rPr>
              <w:t>0</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lang w:val="en-US" w:eastAsia="zh-CN"/>
              </w:rPr>
              <w:t>如果按上述计算的收益分配低于300元每例的，则</w:t>
            </w:r>
            <w:r>
              <w:rPr>
                <w:rFonts w:hint="eastAsia" w:ascii="仿宋_GB2312" w:hAnsi="仿宋_GB2312" w:eastAsia="仿宋_GB2312" w:cs="仿宋_GB2312"/>
                <w:color w:val="000000"/>
                <w:sz w:val="24"/>
                <w:szCs w:val="24"/>
                <w:highlight w:val="none"/>
                <w:lang w:eastAsia="zh-CN"/>
              </w:rPr>
              <w:t>我院每一例收益</w:t>
            </w:r>
            <w:r>
              <w:rPr>
                <w:rFonts w:hint="eastAsia" w:ascii="仿宋_GB2312" w:hAnsi="仿宋_GB2312" w:eastAsia="仿宋_GB2312" w:cs="仿宋_GB2312"/>
                <w:color w:val="000000"/>
                <w:sz w:val="24"/>
                <w:szCs w:val="24"/>
                <w:highlight w:val="none"/>
                <w:lang w:val="en-US" w:eastAsia="zh-CN"/>
              </w:rPr>
              <w:t>分配均为300元。</w:t>
            </w:r>
          </w:p>
          <w:p w14:paraId="2E12B531">
            <w:pPr>
              <w:spacing w:line="240" w:lineRule="auto"/>
              <w:ind w:firstLine="0" w:firstLineChars="0"/>
              <w:jc w:val="left"/>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val="en-US" w:eastAsia="zh-CN"/>
              </w:rPr>
              <w:t>2.</w:t>
            </w:r>
            <w:r>
              <w:rPr>
                <w:rFonts w:hint="eastAsia" w:ascii="仿宋_GB2312" w:hAnsi="仿宋_GB2312" w:eastAsia="仿宋_GB2312" w:cs="仿宋_GB2312"/>
                <w:color w:val="000000"/>
                <w:sz w:val="24"/>
                <w:szCs w:val="24"/>
                <w:highlight w:val="none"/>
              </w:rPr>
              <w:t>院外非资质医院转诊模式</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我院在本项目合作下的每一例收益分配不低于四川省三甲医院物价收费标准的3</w:t>
            </w:r>
            <w:r>
              <w:rPr>
                <w:rFonts w:hint="eastAsia" w:ascii="仿宋_GB2312" w:hAnsi="仿宋_GB2312" w:eastAsia="仿宋_GB2312" w:cs="仿宋_GB2312"/>
                <w:color w:val="000000"/>
                <w:sz w:val="24"/>
                <w:szCs w:val="24"/>
                <w:highlight w:val="none"/>
                <w:lang w:val="en-US" w:eastAsia="zh-CN"/>
              </w:rPr>
              <w:t>5</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eastAsia="zh-CN"/>
              </w:rPr>
              <w:t>。</w:t>
            </w:r>
          </w:p>
          <w:p w14:paraId="329C2AE0">
            <w:pPr>
              <w:spacing w:line="240" w:lineRule="auto"/>
              <w:ind w:firstLine="0" w:firstLineChars="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eastAsia="zh-CN"/>
              </w:rPr>
              <w:t>3</w:t>
            </w:r>
            <w:r>
              <w:rPr>
                <w:rFonts w:hint="eastAsia" w:ascii="仿宋_GB2312" w:hAnsi="仿宋_GB2312" w:eastAsia="仿宋_GB2312" w:cs="仿宋_GB2312"/>
                <w:color w:val="000000"/>
                <w:sz w:val="24"/>
                <w:szCs w:val="24"/>
                <w:highlight w:val="none"/>
                <w:lang w:val="en-US" w:eastAsia="zh-CN"/>
              </w:rPr>
              <w:t>.</w:t>
            </w:r>
            <w:r>
              <w:rPr>
                <w:rFonts w:hint="eastAsia" w:ascii="仿宋_GB2312" w:hAnsi="仿宋_GB2312" w:eastAsia="仿宋_GB2312" w:cs="仿宋_GB2312"/>
                <w:color w:val="000000"/>
                <w:sz w:val="24"/>
                <w:szCs w:val="24"/>
                <w:highlight w:val="none"/>
                <w:lang w:eastAsia="zh-CN"/>
              </w:rPr>
              <w:t>上述报价</w:t>
            </w:r>
            <w:r>
              <w:rPr>
                <w:rFonts w:hint="eastAsia" w:ascii="仿宋_GB2312" w:hAnsi="仿宋_GB2312" w:eastAsia="仿宋_GB2312" w:cs="仿宋_GB2312"/>
                <w:color w:val="000000"/>
                <w:sz w:val="24"/>
                <w:szCs w:val="24"/>
                <w:highlight w:val="none"/>
              </w:rPr>
              <w:t>要求</w:t>
            </w:r>
            <w:r>
              <w:rPr>
                <w:rFonts w:hint="eastAsia" w:ascii="仿宋_GB2312" w:hAnsi="仿宋_GB2312" w:eastAsia="仿宋_GB2312" w:cs="仿宋_GB2312"/>
                <w:color w:val="000000"/>
                <w:sz w:val="24"/>
                <w:szCs w:val="24"/>
                <w:highlight w:val="none"/>
                <w:lang w:eastAsia="zh-CN"/>
              </w:rPr>
              <w:t>属于</w:t>
            </w:r>
            <w:r>
              <w:rPr>
                <w:rFonts w:hint="eastAsia" w:ascii="仿宋_GB2312" w:hAnsi="仿宋_GB2312" w:eastAsia="仿宋_GB2312" w:cs="仿宋_GB2312"/>
                <w:color w:val="000000"/>
                <w:sz w:val="24"/>
                <w:szCs w:val="24"/>
                <w:highlight w:val="none"/>
              </w:rPr>
              <w:t>实质性响应条款，低于此限价将被列为无效参选单位。</w:t>
            </w:r>
          </w:p>
          <w:p w14:paraId="25606DD0">
            <w:pPr>
              <w:widowControl/>
              <w:jc w:val="left"/>
              <w:textAlignment w:val="auto"/>
              <w:rPr>
                <w:rFonts w:ascii="仿宋_GB2312" w:hAnsi="仿宋_GB2312" w:eastAsia="仿宋_GB2312" w:cs="仿宋_GB2312"/>
                <w:color w:val="000000"/>
                <w:sz w:val="22"/>
              </w:rPr>
            </w:pPr>
            <w:r>
              <w:rPr>
                <w:rFonts w:hint="eastAsia" w:ascii="仿宋_GB2312" w:hAnsi="仿宋_GB2312" w:eastAsia="仿宋_GB2312" w:cs="仿宋_GB2312"/>
                <w:color w:val="000000"/>
                <w:sz w:val="24"/>
                <w:szCs w:val="24"/>
                <w:highlight w:val="none"/>
              </w:rPr>
              <w:t>为防止恶意竞争，参选单位的报价不得高于所有参选单位报价平均价30%（含）以上，否则会因存在不能完全达到我院合作目的和要求的可能而被列为无效参选单位。</w:t>
            </w:r>
          </w:p>
        </w:tc>
      </w:tr>
      <w:tr w14:paraId="59EE9B38">
        <w:tblPrEx>
          <w:tblCellMar>
            <w:top w:w="0" w:type="dxa"/>
            <w:left w:w="0" w:type="dxa"/>
            <w:bottom w:w="0" w:type="dxa"/>
            <w:right w:w="0" w:type="dxa"/>
          </w:tblCellMar>
        </w:tblPrEx>
        <w:trPr>
          <w:trHeight w:val="1440" w:hRule="atLeast"/>
          <w:jc w:val="center"/>
        </w:trPr>
        <w:tc>
          <w:tcPr>
            <w:tcW w:w="232" w:type="pct"/>
            <w:vMerge w:val="continue"/>
            <w:tcBorders>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0A74D803">
            <w:pPr>
              <w:widowControl/>
              <w:jc w:val="center"/>
              <w:textAlignment w:val="center"/>
              <w:rPr>
                <w:rFonts w:hint="eastAsia" w:ascii="仿宋_GB2312" w:hAnsi="仿宋_GB2312" w:eastAsia="仿宋_GB2312" w:cs="仿宋_GB2312"/>
                <w:bCs/>
                <w:color w:val="000000"/>
                <w:kern w:val="0"/>
                <w:sz w:val="24"/>
                <w:szCs w:val="24"/>
              </w:rPr>
            </w:pPr>
          </w:p>
        </w:tc>
        <w:tc>
          <w:tcPr>
            <w:tcW w:w="986" w:type="pct"/>
            <w:vMerge w:val="continue"/>
            <w:tcBorders>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00F8CF3B">
            <w:pPr>
              <w:widowControl/>
              <w:jc w:val="center"/>
              <w:textAlignment w:val="center"/>
              <w:rPr>
                <w:rFonts w:hint="eastAsia" w:ascii="仿宋_GB2312" w:hAnsi="仿宋_GB2312" w:eastAsia="仿宋_GB2312" w:cs="仿宋_GB2312"/>
                <w:color w:val="000000"/>
                <w:kern w:val="0"/>
                <w:sz w:val="24"/>
                <w:szCs w:val="24"/>
              </w:rPr>
            </w:pPr>
          </w:p>
        </w:tc>
        <w:tc>
          <w:tcPr>
            <w:tcW w:w="375" w:type="pct"/>
            <w:tcBorders>
              <w:top w:val="nil"/>
              <w:left w:val="nil"/>
              <w:bottom w:val="single" w:color="auto" w:sz="4" w:space="0"/>
              <w:right w:val="single" w:color="000000" w:sz="8" w:space="0"/>
            </w:tcBorders>
            <w:shd w:val="clear" w:color="auto" w:fill="auto"/>
            <w:tcMar>
              <w:top w:w="15" w:type="dxa"/>
              <w:left w:w="15" w:type="dxa"/>
              <w:right w:w="15" w:type="dxa"/>
            </w:tcMar>
            <w:vAlign w:val="center"/>
          </w:tcPr>
          <w:p w14:paraId="5F844143">
            <w:pPr>
              <w:widowControl/>
              <w:jc w:val="center"/>
              <w:textAlignment w:val="center"/>
              <w:rPr>
                <w:rFonts w:hint="default" w:ascii="仿宋_GB2312" w:hAnsi="仿宋_GB2312" w:eastAsia="仿宋_GB2312" w:cs="仿宋_GB2312"/>
                <w:bCs/>
                <w:color w:val="000000"/>
                <w:kern w:val="0"/>
                <w:sz w:val="24"/>
                <w:szCs w:val="24"/>
                <w:lang w:val="en-US" w:eastAsia="zh-CN"/>
              </w:rPr>
            </w:pPr>
            <w:r>
              <w:rPr>
                <w:rFonts w:hint="eastAsia" w:ascii="仿宋_GB2312" w:hAnsi="仿宋_GB2312" w:eastAsia="仿宋_GB2312" w:cs="仿宋_GB2312"/>
                <w:bCs/>
                <w:color w:val="000000"/>
                <w:kern w:val="0"/>
                <w:sz w:val="24"/>
                <w:szCs w:val="24"/>
                <w:lang w:val="en-US" w:eastAsia="zh-CN"/>
              </w:rPr>
              <w:t>8</w:t>
            </w:r>
          </w:p>
        </w:tc>
        <w:tc>
          <w:tcPr>
            <w:tcW w:w="2207" w:type="pct"/>
            <w:tcBorders>
              <w:top w:val="nil"/>
              <w:left w:val="nil"/>
              <w:bottom w:val="single" w:color="auto" w:sz="4" w:space="0"/>
              <w:right w:val="single" w:color="000000" w:sz="8" w:space="0"/>
            </w:tcBorders>
            <w:shd w:val="clear" w:color="auto" w:fill="auto"/>
            <w:tcMar>
              <w:top w:w="15" w:type="dxa"/>
              <w:left w:w="15" w:type="dxa"/>
              <w:right w:w="15" w:type="dxa"/>
            </w:tcMar>
            <w:vAlign w:val="center"/>
          </w:tcPr>
          <w:p w14:paraId="44C7BBFB">
            <w:pPr>
              <w:widowControl/>
              <w:jc w:val="left"/>
              <w:textAlignment w:val="center"/>
              <w:rPr>
                <w:rFonts w:hint="default" w:ascii="仿宋_GB2312" w:hAnsi="仿宋_GB2312" w:eastAsia="仿宋_GB2312" w:cs="仿宋_GB2312"/>
                <w:color w:val="000000"/>
                <w:kern w:val="0"/>
                <w:sz w:val="22"/>
                <w:lang w:val="en-US" w:eastAsia="zh-CN"/>
              </w:rPr>
            </w:pPr>
            <w:r>
              <w:rPr>
                <w:rFonts w:hint="eastAsia" w:ascii="仿宋_GB2312" w:hAnsi="仿宋_GB2312" w:eastAsia="仿宋_GB2312" w:cs="仿宋_GB2312"/>
                <w:color w:val="000000"/>
                <w:kern w:val="0"/>
                <w:sz w:val="22"/>
                <w:lang w:val="en-US" w:eastAsia="zh-CN"/>
              </w:rPr>
              <w:t>2.院外非资质医院转诊模式：</w:t>
            </w:r>
            <w:r>
              <w:rPr>
                <w:rFonts w:hint="eastAsia" w:ascii="仿宋_GB2312" w:hAnsi="仿宋_GB2312" w:eastAsia="仿宋_GB2312" w:cs="仿宋_GB2312"/>
                <w:sz w:val="22"/>
              </w:rPr>
              <w:t>有效</w:t>
            </w:r>
            <w:r>
              <w:rPr>
                <w:rFonts w:hint="eastAsia" w:ascii="仿宋_GB2312" w:hAnsi="仿宋_GB2312" w:eastAsia="仿宋_GB2312" w:cs="仿宋_GB2312"/>
                <w:sz w:val="22"/>
                <w:lang w:eastAsia="zh-CN"/>
              </w:rPr>
              <w:t>参选单位</w:t>
            </w:r>
            <w:r>
              <w:rPr>
                <w:rFonts w:hint="eastAsia" w:ascii="仿宋_GB2312" w:hAnsi="仿宋_GB2312" w:eastAsia="仿宋_GB2312" w:cs="仿宋_GB2312"/>
                <w:sz w:val="22"/>
              </w:rPr>
              <w:t>的平均报价为评标基准价，高于或等于评标基准价，其价格分为满分。其他投标人的价格分统一按照下列公式计算：投标报价得分=（投标报价/评标基准价）×</w:t>
            </w:r>
            <w:r>
              <w:rPr>
                <w:rFonts w:hint="eastAsia" w:ascii="仿宋_GB2312" w:hAnsi="仿宋_GB2312" w:eastAsia="仿宋_GB2312" w:cs="仿宋_GB2312"/>
                <w:sz w:val="22"/>
                <w:lang w:val="en-US" w:eastAsia="zh-CN"/>
              </w:rPr>
              <w:t>8。</w:t>
            </w:r>
          </w:p>
        </w:tc>
        <w:tc>
          <w:tcPr>
            <w:tcW w:w="1198" w:type="pct"/>
            <w:vMerge w:val="continue"/>
            <w:tcBorders>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14:paraId="7B0C0E92">
            <w:pPr>
              <w:widowControl/>
              <w:jc w:val="center"/>
              <w:textAlignment w:val="center"/>
              <w:rPr>
                <w:rFonts w:hint="eastAsia" w:ascii="仿宋_GB2312" w:hAnsi="仿宋_GB2312" w:eastAsia="仿宋_GB2312" w:cs="仿宋_GB2312"/>
                <w:color w:val="000000"/>
                <w:kern w:val="0"/>
                <w:sz w:val="22"/>
              </w:rPr>
            </w:pPr>
          </w:p>
        </w:tc>
      </w:tr>
      <w:tr w14:paraId="68F94E16">
        <w:tblPrEx>
          <w:tblCellMar>
            <w:top w:w="0" w:type="dxa"/>
            <w:left w:w="0" w:type="dxa"/>
            <w:bottom w:w="0" w:type="dxa"/>
            <w:right w:w="0" w:type="dxa"/>
          </w:tblCellMar>
        </w:tblPrEx>
        <w:trPr>
          <w:trHeight w:val="1540" w:hRule="atLeast"/>
          <w:jc w:val="center"/>
        </w:trPr>
        <w:tc>
          <w:tcPr>
            <w:tcW w:w="232" w:type="pct"/>
            <w:vMerge w:val="restart"/>
            <w:tcBorders>
              <w:top w:val="single" w:color="000000" w:sz="8" w:space="0"/>
              <w:left w:val="single" w:color="000000" w:sz="8" w:space="0"/>
              <w:right w:val="single" w:color="000000" w:sz="8" w:space="0"/>
            </w:tcBorders>
            <w:shd w:val="clear" w:color="auto" w:fill="auto"/>
            <w:tcMar>
              <w:top w:w="15" w:type="dxa"/>
              <w:left w:w="15" w:type="dxa"/>
              <w:right w:w="15" w:type="dxa"/>
            </w:tcMar>
            <w:vAlign w:val="center"/>
          </w:tcPr>
          <w:p w14:paraId="27CFF61A">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2</w:t>
            </w:r>
          </w:p>
        </w:tc>
        <w:tc>
          <w:tcPr>
            <w:tcW w:w="986" w:type="pct"/>
            <w:vMerge w:val="restart"/>
            <w:tcBorders>
              <w:top w:val="single" w:color="000000" w:sz="8" w:space="0"/>
              <w:left w:val="single" w:color="000000" w:sz="8" w:space="0"/>
              <w:right w:val="single" w:color="000000" w:sz="8" w:space="0"/>
            </w:tcBorders>
            <w:shd w:val="clear" w:color="auto" w:fill="FFFFFF"/>
            <w:tcMar>
              <w:top w:w="15" w:type="dxa"/>
              <w:left w:w="15" w:type="dxa"/>
              <w:right w:w="15" w:type="dxa"/>
            </w:tcMar>
            <w:vAlign w:val="center"/>
          </w:tcPr>
          <w:p w14:paraId="20576B7C">
            <w:pPr>
              <w:widowControl/>
              <w:jc w:val="center"/>
              <w:textAlignment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技术要求</w:t>
            </w:r>
          </w:p>
          <w:p w14:paraId="0DDF1822">
            <w:pPr>
              <w:widowControl/>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（44%）</w:t>
            </w:r>
          </w:p>
        </w:tc>
        <w:tc>
          <w:tcPr>
            <w:tcW w:w="375" w:type="pct"/>
            <w:tcBorders>
              <w:top w:val="single" w:color="auto" w:sz="4" w:space="0"/>
              <w:left w:val="nil"/>
              <w:bottom w:val="single" w:color="000000" w:sz="8" w:space="0"/>
              <w:right w:val="single" w:color="000000" w:sz="8" w:space="0"/>
            </w:tcBorders>
            <w:shd w:val="clear" w:color="auto" w:fill="FFFFFF"/>
            <w:tcMar>
              <w:top w:w="15" w:type="dxa"/>
              <w:left w:w="15" w:type="dxa"/>
              <w:right w:w="15" w:type="dxa"/>
            </w:tcMar>
            <w:vAlign w:val="center"/>
          </w:tcPr>
          <w:p w14:paraId="283DF54F">
            <w:pPr>
              <w:widowControl/>
              <w:jc w:val="center"/>
              <w:textAlignment w:val="center"/>
              <w:rPr>
                <w:rFonts w:hint="default" w:ascii="仿宋_GB2312" w:hAnsi="仿宋_GB2312" w:eastAsia="仿宋_GB2312" w:cs="仿宋_GB2312"/>
                <w:bCs/>
                <w:color w:val="000000"/>
                <w:sz w:val="24"/>
                <w:szCs w:val="24"/>
                <w:lang w:val="en-US" w:eastAsia="zh-CN"/>
              </w:rPr>
            </w:pPr>
            <w:r>
              <w:rPr>
                <w:rFonts w:hint="eastAsia" w:ascii="仿宋_GB2312" w:hAnsi="仿宋_GB2312" w:eastAsia="仿宋_GB2312" w:cs="仿宋_GB2312"/>
                <w:bCs/>
                <w:color w:val="000000"/>
                <w:kern w:val="0"/>
                <w:sz w:val="24"/>
                <w:szCs w:val="24"/>
                <w:lang w:val="en-US" w:eastAsia="zh-CN"/>
              </w:rPr>
              <w:t>24</w:t>
            </w:r>
          </w:p>
        </w:tc>
        <w:tc>
          <w:tcPr>
            <w:tcW w:w="2207" w:type="pct"/>
            <w:tcBorders>
              <w:top w:val="single" w:color="auto" w:sz="4" w:space="0"/>
              <w:left w:val="nil"/>
              <w:bottom w:val="single" w:color="000000" w:sz="8" w:space="0"/>
              <w:right w:val="single" w:color="000000" w:sz="8" w:space="0"/>
            </w:tcBorders>
            <w:shd w:val="clear" w:color="auto" w:fill="FFFFFF"/>
            <w:tcMar>
              <w:top w:w="15" w:type="dxa"/>
              <w:left w:w="15" w:type="dxa"/>
              <w:right w:w="15" w:type="dxa"/>
            </w:tcMar>
            <w:vAlign w:val="center"/>
          </w:tcPr>
          <w:p w14:paraId="26C9BBB9">
            <w:pPr>
              <w:keepNext w:val="0"/>
              <w:keepLines w:val="0"/>
              <w:widowControl/>
              <w:suppressLineNumbers w:val="0"/>
              <w:jc w:val="left"/>
              <w:textAlignment w:val="auto"/>
              <w:rPr>
                <w:rFonts w:hint="eastAsia" w:ascii="仿宋_GB2312" w:hAnsi="仿宋_GB2312" w:eastAsia="仿宋_GB2312" w:cs="仿宋_GB2312"/>
                <w:i w:val="0"/>
                <w:iCs w:val="0"/>
                <w:color w:val="auto"/>
                <w:kern w:val="2"/>
                <w:sz w:val="22"/>
                <w:szCs w:val="22"/>
                <w:u w:val="none"/>
                <w:lang w:val="en-US" w:eastAsia="zh-CN" w:bidi="ar"/>
              </w:rPr>
            </w:pPr>
            <w:r>
              <w:rPr>
                <w:rFonts w:hint="eastAsia" w:ascii="仿宋_GB2312" w:hAnsi="仿宋_GB2312" w:eastAsia="仿宋_GB2312" w:cs="仿宋_GB2312"/>
                <w:i w:val="0"/>
                <w:iCs w:val="0"/>
                <w:color w:val="auto"/>
                <w:kern w:val="2"/>
                <w:sz w:val="22"/>
                <w:szCs w:val="22"/>
                <w:u w:val="none"/>
                <w:lang w:val="en-US" w:eastAsia="zh-CN" w:bidi="ar"/>
              </w:rPr>
              <w:t>1.参选单位一般条款的响应得分规则如下：（一般条款是指：除标注“</w:t>
            </w:r>
            <w:r>
              <w:rPr>
                <w:rFonts w:hint="eastAsia" w:ascii="仿宋_GB2312" w:hAnsi="仿宋_GB2312" w:eastAsia="仿宋_GB2312" w:cs="仿宋_GB2312"/>
                <w:sz w:val="22"/>
                <w:u w:val="none"/>
                <w:lang w:bidi="ar"/>
              </w:rPr>
              <w:t>▲</w:t>
            </w:r>
            <w:r>
              <w:rPr>
                <w:rFonts w:hint="eastAsia" w:ascii="仿宋_GB2312" w:hAnsi="仿宋_GB2312" w:eastAsia="仿宋_GB2312" w:cs="仿宋_GB2312"/>
                <w:i w:val="0"/>
                <w:iCs w:val="0"/>
                <w:color w:val="auto"/>
                <w:kern w:val="2"/>
                <w:sz w:val="22"/>
                <w:szCs w:val="22"/>
                <w:u w:val="none"/>
                <w:lang w:val="en-US" w:eastAsia="zh-CN" w:bidi="ar"/>
              </w:rPr>
              <w:t>” 的条款以外的所有条款，一共16项）</w:t>
            </w:r>
          </w:p>
          <w:p w14:paraId="2E362DFB">
            <w:pPr>
              <w:widowControl/>
              <w:jc w:val="left"/>
              <w:rPr>
                <w:rFonts w:hint="eastAsia" w:ascii="仿宋_GB2312" w:hAnsi="仿宋_GB2312" w:eastAsia="仿宋_GB2312" w:cs="仿宋_GB2312"/>
                <w:i w:val="0"/>
                <w:iCs w:val="0"/>
                <w:kern w:val="2"/>
                <w:sz w:val="22"/>
                <w:szCs w:val="22"/>
                <w:u w:val="none"/>
                <w:lang w:val="en-US" w:eastAsia="zh-CN" w:bidi="ar"/>
              </w:rPr>
            </w:pPr>
            <w:r>
              <w:rPr>
                <w:rFonts w:hint="eastAsia" w:ascii="仿宋_GB2312" w:hAnsi="仿宋_GB2312" w:eastAsia="仿宋_GB2312" w:cs="仿宋_GB2312"/>
                <w:i w:val="0"/>
                <w:iCs w:val="0"/>
                <w:color w:val="auto"/>
                <w:kern w:val="2"/>
                <w:sz w:val="22"/>
                <w:szCs w:val="22"/>
                <w:u w:val="none"/>
                <w:lang w:val="en-US" w:eastAsia="zh-CN" w:bidi="ar"/>
              </w:rPr>
              <w:t>全部满足为满分，不满足一条扣1.5分，扣完为止。</w:t>
            </w:r>
          </w:p>
          <w:p w14:paraId="3DA0CF02">
            <w:pPr>
              <w:widowControl/>
              <w:jc w:val="left"/>
              <w:textAlignment w:val="center"/>
              <w:rPr>
                <w:rFonts w:hint="eastAsia" w:ascii="仿宋_GB2312" w:hAnsi="仿宋_GB2312" w:eastAsia="仿宋_GB2312" w:cs="仿宋_GB2312"/>
                <w:color w:val="000000"/>
                <w:kern w:val="0"/>
                <w:sz w:val="22"/>
              </w:rPr>
            </w:pPr>
          </w:p>
        </w:tc>
        <w:tc>
          <w:tcPr>
            <w:tcW w:w="1198" w:type="pct"/>
            <w:vMerge w:val="restart"/>
            <w:tcBorders>
              <w:top w:val="single" w:color="auto" w:sz="4" w:space="0"/>
              <w:left w:val="single" w:color="000000" w:sz="8" w:space="0"/>
              <w:right w:val="single" w:color="000000" w:sz="8" w:space="0"/>
            </w:tcBorders>
            <w:shd w:val="clear" w:color="auto" w:fill="FFFFFF"/>
            <w:tcMar>
              <w:top w:w="15" w:type="dxa"/>
              <w:left w:w="15" w:type="dxa"/>
              <w:right w:w="15" w:type="dxa"/>
            </w:tcMar>
            <w:vAlign w:val="center"/>
          </w:tcPr>
          <w:p w14:paraId="6F78186A">
            <w:pPr>
              <w:widowControl/>
              <w:jc w:val="left"/>
              <w:textAlignment w:val="center"/>
              <w:rPr>
                <w:rFonts w:hint="eastAsia" w:ascii="仿宋_GB2312" w:hAnsi="仿宋_GB2312" w:eastAsia="仿宋_GB2312" w:cs="仿宋_GB2312"/>
                <w:color w:val="000000"/>
                <w:kern w:val="0"/>
                <w:sz w:val="22"/>
              </w:rPr>
            </w:pPr>
            <w:r>
              <w:rPr>
                <w:rFonts w:hint="eastAsia" w:ascii="仿宋_GB2312" w:hAnsi="仿宋_GB2312" w:eastAsia="仿宋_GB2312" w:cs="仿宋_GB2312"/>
                <w:color w:val="000000"/>
                <w:kern w:val="0"/>
                <w:sz w:val="22"/>
                <w:lang w:val="en-US" w:eastAsia="zh-CN"/>
              </w:rPr>
              <w:t>1.</w:t>
            </w:r>
            <w:r>
              <w:rPr>
                <w:rFonts w:hint="eastAsia" w:ascii="仿宋_GB2312" w:hAnsi="仿宋_GB2312" w:eastAsia="仿宋_GB2312" w:cs="仿宋_GB2312"/>
                <w:color w:val="000000"/>
                <w:kern w:val="0"/>
                <w:sz w:val="22"/>
              </w:rPr>
              <w:t>如果响应文件中的条款参数没有按照要求提供相应支持资料的，该条参数在评审中将不予认定。</w:t>
            </w:r>
          </w:p>
          <w:p w14:paraId="09D1851B">
            <w:pPr>
              <w:widowControl/>
              <w:jc w:val="left"/>
              <w:textAlignment w:val="center"/>
              <w:rPr>
                <w:rFonts w:hint="default" w:ascii="仿宋_GB2312" w:hAnsi="仿宋_GB2312" w:eastAsia="仿宋_GB2312" w:cs="仿宋_GB2312"/>
                <w:color w:val="000000"/>
                <w:kern w:val="0"/>
                <w:sz w:val="22"/>
                <w:lang w:val="en-US" w:eastAsia="zh-CN"/>
              </w:rPr>
            </w:pPr>
            <w:r>
              <w:rPr>
                <w:rFonts w:hint="eastAsia" w:ascii="仿宋_GB2312" w:hAnsi="仿宋_GB2312" w:eastAsia="仿宋_GB2312" w:cs="仿宋_GB2312"/>
                <w:color w:val="000000"/>
                <w:kern w:val="0"/>
                <w:sz w:val="22"/>
                <w:lang w:val="en-US" w:eastAsia="zh-CN"/>
              </w:rPr>
              <w:t>2.该条</w:t>
            </w:r>
            <w:r>
              <w:rPr>
                <w:rFonts w:hint="eastAsia" w:ascii="仿宋_GB2312" w:hAnsi="仿宋_GB2312" w:eastAsia="仿宋_GB2312" w:cs="仿宋_GB2312"/>
                <w:color w:val="000000"/>
                <w:kern w:val="0"/>
                <w:sz w:val="22"/>
                <w:highlight w:val="none"/>
                <w:lang w:val="en-US" w:eastAsia="zh-CN"/>
              </w:rPr>
              <w:t>对于遴选文件附件1“3.技术要求”评分。</w:t>
            </w:r>
          </w:p>
          <w:p w14:paraId="36D55CD4">
            <w:pPr>
              <w:jc w:val="center"/>
              <w:rPr>
                <w:rFonts w:ascii="仿宋_GB2312" w:hAnsi="仿宋_GB2312" w:eastAsia="仿宋_GB2312" w:cs="仿宋_GB2312"/>
                <w:color w:val="000000"/>
                <w:sz w:val="24"/>
                <w:szCs w:val="24"/>
              </w:rPr>
            </w:pPr>
          </w:p>
        </w:tc>
      </w:tr>
      <w:tr w14:paraId="03D6C4E1">
        <w:tblPrEx>
          <w:tblCellMar>
            <w:top w:w="0" w:type="dxa"/>
            <w:left w:w="0" w:type="dxa"/>
            <w:bottom w:w="0" w:type="dxa"/>
            <w:right w:w="0" w:type="dxa"/>
          </w:tblCellMar>
        </w:tblPrEx>
        <w:trPr>
          <w:trHeight w:val="1540" w:hRule="atLeast"/>
          <w:jc w:val="center"/>
        </w:trPr>
        <w:tc>
          <w:tcPr>
            <w:tcW w:w="232" w:type="pct"/>
            <w:vMerge w:val="continue"/>
            <w:tcBorders>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24D36E04">
            <w:pPr>
              <w:widowControl/>
              <w:jc w:val="center"/>
              <w:textAlignment w:val="center"/>
              <w:rPr>
                <w:rFonts w:hint="eastAsia" w:ascii="仿宋_GB2312" w:hAnsi="仿宋_GB2312" w:eastAsia="仿宋_GB2312" w:cs="仿宋_GB2312"/>
                <w:bCs/>
                <w:color w:val="000000"/>
                <w:kern w:val="0"/>
                <w:sz w:val="24"/>
                <w:szCs w:val="24"/>
              </w:rPr>
            </w:pPr>
          </w:p>
        </w:tc>
        <w:tc>
          <w:tcPr>
            <w:tcW w:w="986" w:type="pct"/>
            <w:vMerge w:val="continue"/>
            <w:tcBorders>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623731C">
            <w:pPr>
              <w:widowControl/>
              <w:jc w:val="center"/>
              <w:textAlignment w:val="center"/>
              <w:rPr>
                <w:rFonts w:hint="eastAsia" w:ascii="仿宋_GB2312" w:hAnsi="仿宋_GB2312" w:eastAsia="仿宋_GB2312" w:cs="仿宋_GB2312"/>
                <w:color w:val="000000"/>
                <w:kern w:val="0"/>
                <w:sz w:val="24"/>
                <w:szCs w:val="24"/>
              </w:rPr>
            </w:pPr>
          </w:p>
        </w:tc>
        <w:tc>
          <w:tcPr>
            <w:tcW w:w="375" w:type="pc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6472E34">
            <w:pPr>
              <w:widowControl/>
              <w:jc w:val="center"/>
              <w:textAlignment w:val="center"/>
              <w:rPr>
                <w:rFonts w:hint="default" w:ascii="仿宋_GB2312" w:hAnsi="仿宋_GB2312" w:eastAsia="仿宋_GB2312" w:cs="仿宋_GB2312"/>
                <w:bCs/>
                <w:color w:val="000000"/>
                <w:kern w:val="0"/>
                <w:sz w:val="24"/>
                <w:szCs w:val="24"/>
                <w:lang w:val="en-US" w:eastAsia="zh-CN"/>
              </w:rPr>
            </w:pPr>
            <w:r>
              <w:rPr>
                <w:rFonts w:hint="eastAsia" w:ascii="仿宋_GB2312" w:hAnsi="仿宋_GB2312" w:eastAsia="仿宋_GB2312" w:cs="仿宋_GB2312"/>
                <w:bCs/>
                <w:color w:val="000000"/>
                <w:kern w:val="0"/>
                <w:sz w:val="24"/>
                <w:szCs w:val="24"/>
                <w:lang w:val="en-US" w:eastAsia="zh-CN"/>
              </w:rPr>
              <w:t>20</w:t>
            </w:r>
          </w:p>
        </w:tc>
        <w:tc>
          <w:tcPr>
            <w:tcW w:w="2207" w:type="pc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EE5A197">
            <w:pPr>
              <w:widowControl/>
              <w:jc w:val="left"/>
              <w:textAlignment w:val="center"/>
              <w:rPr>
                <w:rFonts w:hint="eastAsia" w:ascii="仿宋_GB2312" w:hAnsi="仿宋_GB2312" w:eastAsia="仿宋_GB2312" w:cs="仿宋_GB2312"/>
                <w:color w:val="000000"/>
                <w:kern w:val="0"/>
                <w:sz w:val="22"/>
              </w:rPr>
            </w:pPr>
            <w:r>
              <w:rPr>
                <w:rFonts w:hint="eastAsia" w:ascii="仿宋_GB2312" w:hAnsi="仿宋_GB2312" w:eastAsia="仿宋_GB2312" w:cs="仿宋_GB2312"/>
                <w:i w:val="0"/>
                <w:iCs w:val="0"/>
                <w:color w:val="auto"/>
                <w:kern w:val="2"/>
                <w:sz w:val="22"/>
                <w:szCs w:val="22"/>
                <w:u w:val="none"/>
                <w:lang w:val="en-US" w:eastAsia="zh-CN" w:bidi="ar"/>
              </w:rPr>
              <w:t>2.</w:t>
            </w:r>
            <w:r>
              <w:rPr>
                <w:rFonts w:hint="eastAsia" w:ascii="仿宋_GB2312" w:hAnsi="仿宋_GB2312" w:eastAsia="仿宋_GB2312" w:cs="仿宋_GB2312"/>
                <w:sz w:val="22"/>
                <w:u w:val="none"/>
                <w:lang w:bidi="ar"/>
              </w:rPr>
              <w:t>“▲”条款技术参数有</w:t>
            </w:r>
            <w:r>
              <w:rPr>
                <w:rFonts w:hint="eastAsia" w:ascii="仿宋_GB2312" w:hAnsi="仿宋_GB2312" w:eastAsia="仿宋_GB2312" w:cs="仿宋_GB2312"/>
                <w:sz w:val="22"/>
                <w:u w:val="none"/>
                <w:lang w:val="en-US" w:eastAsia="zh-CN" w:bidi="ar"/>
              </w:rPr>
              <w:t>4</w:t>
            </w:r>
            <w:r>
              <w:rPr>
                <w:rFonts w:hint="eastAsia" w:ascii="仿宋_GB2312" w:hAnsi="仿宋_GB2312" w:eastAsia="仿宋_GB2312" w:cs="仿宋_GB2312"/>
                <w:sz w:val="22"/>
                <w:u w:val="none"/>
                <w:lang w:bidi="ar"/>
              </w:rPr>
              <w:t>项</w:t>
            </w:r>
            <w:r>
              <w:rPr>
                <w:rFonts w:hint="eastAsia" w:ascii="仿宋_GB2312" w:hAnsi="仿宋_GB2312" w:eastAsia="仿宋_GB2312" w:cs="仿宋_GB2312"/>
                <w:sz w:val="22"/>
                <w:u w:val="none"/>
                <w:lang w:eastAsia="zh-CN" w:bidi="ar"/>
              </w:rPr>
              <w:t>，</w:t>
            </w:r>
            <w:r>
              <w:rPr>
                <w:rFonts w:hint="eastAsia" w:ascii="仿宋_GB2312" w:hAnsi="仿宋_GB2312" w:eastAsia="仿宋_GB2312" w:cs="仿宋_GB2312"/>
                <w:i w:val="0"/>
                <w:iCs w:val="0"/>
                <w:color w:val="auto"/>
                <w:kern w:val="2"/>
                <w:sz w:val="22"/>
                <w:szCs w:val="22"/>
                <w:u w:val="none"/>
                <w:lang w:val="en-US" w:eastAsia="zh-CN" w:bidi="ar"/>
              </w:rPr>
              <w:t>带</w:t>
            </w:r>
            <w:r>
              <w:rPr>
                <w:rFonts w:hint="eastAsia" w:ascii="仿宋_GB2312" w:hAnsi="仿宋_GB2312" w:eastAsia="仿宋_GB2312" w:cs="仿宋_GB2312"/>
                <w:sz w:val="22"/>
                <w:u w:val="none"/>
                <w:lang w:bidi="ar"/>
              </w:rPr>
              <w:t>▲</w:t>
            </w:r>
            <w:r>
              <w:rPr>
                <w:rFonts w:hint="eastAsia" w:ascii="仿宋_GB2312" w:hAnsi="仿宋_GB2312" w:eastAsia="仿宋_GB2312" w:cs="仿宋_GB2312"/>
                <w:i w:val="0"/>
                <w:iCs w:val="0"/>
                <w:color w:val="auto"/>
                <w:kern w:val="2"/>
                <w:sz w:val="22"/>
                <w:szCs w:val="22"/>
                <w:u w:val="none"/>
                <w:lang w:val="en-US" w:eastAsia="zh-CN" w:bidi="ar"/>
              </w:rPr>
              <w:t>条款的响应得分规则如下：全部满足带</w:t>
            </w:r>
            <w:r>
              <w:rPr>
                <w:rFonts w:hint="eastAsia" w:ascii="仿宋_GB2312" w:hAnsi="仿宋_GB2312" w:eastAsia="仿宋_GB2312" w:cs="仿宋_GB2312"/>
                <w:sz w:val="22"/>
                <w:u w:val="none"/>
                <w:lang w:bidi="ar"/>
              </w:rPr>
              <w:t>▲</w:t>
            </w:r>
            <w:r>
              <w:rPr>
                <w:rFonts w:hint="eastAsia" w:ascii="仿宋_GB2312" w:hAnsi="仿宋_GB2312" w:eastAsia="仿宋_GB2312" w:cs="仿宋_GB2312"/>
                <w:i w:val="0"/>
                <w:iCs w:val="0"/>
                <w:color w:val="auto"/>
                <w:kern w:val="2"/>
                <w:sz w:val="22"/>
                <w:szCs w:val="22"/>
                <w:u w:val="none"/>
                <w:lang w:val="en-US" w:eastAsia="zh-CN" w:bidi="ar"/>
              </w:rPr>
              <w:t>条为满分，不满足一条扣5分，扣完为止。</w:t>
            </w:r>
          </w:p>
        </w:tc>
        <w:tc>
          <w:tcPr>
            <w:tcW w:w="1198" w:type="pct"/>
            <w:vMerge w:val="continue"/>
            <w:tcBorders>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0D3B7C2">
            <w:pPr>
              <w:jc w:val="center"/>
              <w:rPr>
                <w:rFonts w:ascii="仿宋_GB2312" w:hAnsi="仿宋_GB2312" w:eastAsia="仿宋_GB2312" w:cs="仿宋_GB2312"/>
                <w:color w:val="000000"/>
                <w:sz w:val="24"/>
                <w:szCs w:val="24"/>
              </w:rPr>
            </w:pPr>
          </w:p>
        </w:tc>
      </w:tr>
      <w:tr w14:paraId="47997699">
        <w:tblPrEx>
          <w:tblCellMar>
            <w:top w:w="0" w:type="dxa"/>
            <w:left w:w="0" w:type="dxa"/>
            <w:bottom w:w="0" w:type="dxa"/>
            <w:right w:w="0" w:type="dxa"/>
          </w:tblCellMar>
        </w:tblPrEx>
        <w:trPr>
          <w:trHeight w:val="883" w:hRule="atLeast"/>
          <w:jc w:val="center"/>
        </w:trPr>
        <w:tc>
          <w:tcPr>
            <w:tcW w:w="232" w:type="pct"/>
            <w:vMerge w:val="restart"/>
            <w:tcBorders>
              <w:top w:val="nil"/>
              <w:left w:val="single" w:color="000000" w:sz="8" w:space="0"/>
              <w:bottom w:val="nil"/>
              <w:right w:val="single" w:color="000000" w:sz="8" w:space="0"/>
            </w:tcBorders>
            <w:shd w:val="clear" w:color="auto" w:fill="auto"/>
            <w:tcMar>
              <w:top w:w="15" w:type="dxa"/>
              <w:left w:w="15" w:type="dxa"/>
              <w:right w:w="15" w:type="dxa"/>
            </w:tcMar>
            <w:vAlign w:val="center"/>
          </w:tcPr>
          <w:p w14:paraId="58B92510">
            <w:pPr>
              <w:jc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3</w:t>
            </w:r>
          </w:p>
        </w:tc>
        <w:tc>
          <w:tcPr>
            <w:tcW w:w="986" w:type="pct"/>
            <w:vMerge w:val="restart"/>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3903F00F">
            <w:pPr>
              <w:widowControl/>
              <w:jc w:val="center"/>
              <w:textAlignment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实力与服务能力</w:t>
            </w:r>
          </w:p>
          <w:p w14:paraId="2AF8C5CB">
            <w:pPr>
              <w:widowControl/>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w:t>
            </w:r>
            <w:r>
              <w:rPr>
                <w:rFonts w:ascii="仿宋_GB2312" w:hAnsi="仿宋_GB2312" w:eastAsia="仿宋_GB2312" w:cs="仿宋_GB2312"/>
                <w:color w:val="000000"/>
                <w:kern w:val="0"/>
                <w:sz w:val="24"/>
                <w:szCs w:val="24"/>
              </w:rPr>
              <w:t>30</w:t>
            </w:r>
            <w:r>
              <w:rPr>
                <w:rFonts w:hint="eastAsia" w:ascii="仿宋_GB2312" w:hAnsi="仿宋_GB2312" w:eastAsia="仿宋_GB2312" w:cs="仿宋_GB2312"/>
                <w:color w:val="000000"/>
                <w:kern w:val="0"/>
                <w:sz w:val="24"/>
                <w:szCs w:val="24"/>
              </w:rPr>
              <w:t>%）</w:t>
            </w:r>
          </w:p>
        </w:tc>
        <w:tc>
          <w:tcPr>
            <w:tcW w:w="375" w:type="pc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3307AB2">
            <w:pPr>
              <w:widowControl/>
              <w:jc w:val="center"/>
              <w:textAlignment w:val="center"/>
              <w:rPr>
                <w:rFonts w:ascii="仿宋_GB2312" w:hAnsi="仿宋_GB2312" w:eastAsia="仿宋_GB2312" w:cs="仿宋_GB2312"/>
                <w:bCs/>
                <w:color w:val="000000"/>
                <w:sz w:val="22"/>
              </w:rPr>
            </w:pPr>
            <w:r>
              <w:rPr>
                <w:rFonts w:hint="eastAsia" w:ascii="仿宋_GB2312" w:hAnsi="仿宋_GB2312" w:eastAsia="仿宋_GB2312" w:cs="仿宋_GB2312"/>
                <w:bCs/>
                <w:color w:val="000000"/>
                <w:kern w:val="0"/>
                <w:sz w:val="22"/>
              </w:rPr>
              <w:t>1</w:t>
            </w:r>
          </w:p>
        </w:tc>
        <w:tc>
          <w:tcPr>
            <w:tcW w:w="2207" w:type="pc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BD217E8">
            <w:pPr>
              <w:widowControl/>
              <w:jc w:val="left"/>
              <w:textAlignment w:val="center"/>
              <w:rPr>
                <w:rFonts w:ascii="仿宋_GB2312" w:hAnsi="仿宋_GB2312" w:eastAsia="仿宋_GB2312" w:cs="仿宋_GB2312"/>
                <w:color w:val="000000"/>
                <w:sz w:val="22"/>
                <w:highlight w:val="none"/>
              </w:rPr>
            </w:pPr>
            <w:r>
              <w:rPr>
                <w:rFonts w:hint="eastAsia" w:ascii="仿宋_GB2312" w:hAnsi="仿宋_GB2312" w:eastAsia="仿宋_GB2312" w:cs="仿宋_GB2312"/>
                <w:color w:val="000000"/>
                <w:kern w:val="0"/>
                <w:sz w:val="22"/>
                <w:highlight w:val="none"/>
              </w:rPr>
              <w:t>参选单位实验室通过ISO15189、CAP及国际三标（ ISO9001、ISO14001、ISO45001）认证的得1分，不满足不得分。</w:t>
            </w:r>
          </w:p>
        </w:tc>
        <w:tc>
          <w:tcPr>
            <w:tcW w:w="1198" w:type="pct"/>
            <w:vMerge w:val="restart"/>
            <w:tcBorders>
              <w:top w:val="nil"/>
              <w:left w:val="single" w:color="000000" w:sz="8" w:space="0"/>
              <w:right w:val="single" w:color="000000" w:sz="8" w:space="0"/>
            </w:tcBorders>
            <w:shd w:val="clear" w:color="auto" w:fill="FFFFFF"/>
            <w:tcMar>
              <w:top w:w="15" w:type="dxa"/>
              <w:left w:w="15" w:type="dxa"/>
              <w:right w:w="15" w:type="dxa"/>
            </w:tcMar>
            <w:vAlign w:val="center"/>
          </w:tcPr>
          <w:p w14:paraId="7E7B1785">
            <w:pPr>
              <w:widowControl/>
              <w:jc w:val="left"/>
              <w:textAlignment w:val="center"/>
              <w:rPr>
                <w:rFonts w:hint="default" w:ascii="仿宋_GB2312" w:hAnsi="仿宋_GB2312" w:eastAsia="仿宋_GB2312" w:cs="仿宋_GB2312"/>
                <w:color w:val="000000"/>
                <w:kern w:val="0"/>
                <w:sz w:val="22"/>
                <w:highlight w:val="none"/>
                <w:lang w:val="en-US" w:eastAsia="zh-CN"/>
              </w:rPr>
            </w:pPr>
            <w:r>
              <w:rPr>
                <w:rFonts w:hint="eastAsia" w:ascii="仿宋_GB2312" w:hAnsi="仿宋_GB2312" w:eastAsia="仿宋_GB2312" w:cs="仿宋_GB2312"/>
                <w:color w:val="000000"/>
                <w:kern w:val="0"/>
                <w:sz w:val="22"/>
                <w:highlight w:val="none"/>
                <w:lang w:val="en-US" w:eastAsia="zh-CN"/>
              </w:rPr>
              <w:t>对于遴选文件附件1“4.</w:t>
            </w:r>
            <w:r>
              <w:rPr>
                <w:rFonts w:hint="eastAsia" w:ascii="仿宋_GB2312" w:hAnsi="仿宋_GB2312" w:eastAsia="仿宋_GB2312" w:cs="仿宋_GB2312"/>
                <w:color w:val="000000"/>
                <w:kern w:val="0"/>
                <w:sz w:val="22"/>
                <w:highlight w:val="none"/>
              </w:rPr>
              <w:t>实力与服务能力要求</w:t>
            </w:r>
            <w:r>
              <w:rPr>
                <w:rFonts w:hint="eastAsia" w:ascii="仿宋_GB2312" w:hAnsi="仿宋_GB2312" w:eastAsia="仿宋_GB2312" w:cs="仿宋_GB2312"/>
                <w:color w:val="000000"/>
                <w:kern w:val="0"/>
                <w:sz w:val="22"/>
                <w:highlight w:val="none"/>
                <w:lang w:val="en-US" w:eastAsia="zh-CN"/>
              </w:rPr>
              <w:t>”评分。</w:t>
            </w:r>
          </w:p>
          <w:p w14:paraId="50D79EA8">
            <w:pPr>
              <w:jc w:val="center"/>
              <w:rPr>
                <w:rFonts w:ascii="仿宋_GB2312" w:hAnsi="仿宋_GB2312" w:eastAsia="仿宋_GB2312" w:cs="仿宋_GB2312"/>
                <w:color w:val="000000"/>
                <w:sz w:val="24"/>
                <w:szCs w:val="24"/>
                <w:highlight w:val="none"/>
              </w:rPr>
            </w:pPr>
          </w:p>
        </w:tc>
      </w:tr>
      <w:tr w14:paraId="0316B259">
        <w:tblPrEx>
          <w:tblCellMar>
            <w:top w:w="0" w:type="dxa"/>
            <w:left w:w="0" w:type="dxa"/>
            <w:bottom w:w="0" w:type="dxa"/>
            <w:right w:w="0" w:type="dxa"/>
          </w:tblCellMar>
        </w:tblPrEx>
        <w:trPr>
          <w:trHeight w:val="700" w:hRule="atLeast"/>
          <w:jc w:val="center"/>
        </w:trPr>
        <w:tc>
          <w:tcPr>
            <w:tcW w:w="232" w:type="pct"/>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14:paraId="6A41A8BF">
            <w:pPr>
              <w:jc w:val="center"/>
              <w:rPr>
                <w:rFonts w:ascii="仿宋_GB2312" w:hAnsi="仿宋_GB2312" w:eastAsia="仿宋_GB2312" w:cs="仿宋_GB2312"/>
                <w:b/>
                <w:color w:val="000000"/>
                <w:sz w:val="24"/>
                <w:szCs w:val="24"/>
              </w:rPr>
            </w:pPr>
          </w:p>
        </w:tc>
        <w:tc>
          <w:tcPr>
            <w:tcW w:w="986" w:type="pct"/>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253FC039">
            <w:pPr>
              <w:jc w:val="center"/>
              <w:rPr>
                <w:rFonts w:ascii="仿宋_GB2312" w:hAnsi="仿宋_GB2312" w:eastAsia="仿宋_GB2312" w:cs="仿宋_GB2312"/>
                <w:color w:val="000000"/>
                <w:sz w:val="24"/>
                <w:szCs w:val="24"/>
              </w:rPr>
            </w:pPr>
          </w:p>
        </w:tc>
        <w:tc>
          <w:tcPr>
            <w:tcW w:w="375" w:type="pc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2CADBD94">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2</w:t>
            </w:r>
          </w:p>
        </w:tc>
        <w:tc>
          <w:tcPr>
            <w:tcW w:w="2207" w:type="pc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C2769FD">
            <w:pPr>
              <w:widowControl/>
              <w:jc w:val="left"/>
              <w:textAlignment w:val="center"/>
              <w:rPr>
                <w:rFonts w:ascii="仿宋_GB2312" w:hAnsi="仿宋_GB2312" w:eastAsia="仿宋_GB2312" w:cs="仿宋_GB2312"/>
                <w:color w:val="000000"/>
                <w:sz w:val="22"/>
              </w:rPr>
            </w:pPr>
            <w:r>
              <w:rPr>
                <w:rFonts w:hint="eastAsia" w:ascii="仿宋_GB2312" w:hAnsi="仿宋_GB2312" w:eastAsia="仿宋_GB2312" w:cs="仿宋_GB2312"/>
                <w:color w:val="000000"/>
                <w:kern w:val="0"/>
                <w:sz w:val="22"/>
              </w:rPr>
              <w:t>NIPT项目连续3年（202</w:t>
            </w:r>
            <w:r>
              <w:rPr>
                <w:rFonts w:hint="eastAsia" w:ascii="仿宋_GB2312" w:hAnsi="仿宋_GB2312" w:eastAsia="仿宋_GB2312" w:cs="仿宋_GB2312"/>
                <w:color w:val="000000"/>
                <w:kern w:val="0"/>
                <w:sz w:val="22"/>
                <w:lang w:val="en-US" w:eastAsia="zh-CN"/>
              </w:rPr>
              <w:t>4</w:t>
            </w:r>
            <w:r>
              <w:rPr>
                <w:rFonts w:hint="eastAsia" w:ascii="仿宋_GB2312" w:hAnsi="仿宋_GB2312" w:eastAsia="仿宋_GB2312" w:cs="仿宋_GB2312"/>
                <w:color w:val="000000"/>
                <w:kern w:val="0"/>
                <w:sz w:val="22"/>
              </w:rPr>
              <w:t>、202</w:t>
            </w:r>
            <w:r>
              <w:rPr>
                <w:rFonts w:hint="eastAsia" w:ascii="仿宋_GB2312" w:hAnsi="仿宋_GB2312" w:eastAsia="仿宋_GB2312" w:cs="仿宋_GB2312"/>
                <w:color w:val="000000"/>
                <w:kern w:val="0"/>
                <w:sz w:val="22"/>
                <w:lang w:val="en-US" w:eastAsia="zh-CN"/>
              </w:rPr>
              <w:t>3</w:t>
            </w:r>
            <w:r>
              <w:rPr>
                <w:rFonts w:hint="eastAsia" w:ascii="仿宋_GB2312" w:hAnsi="仿宋_GB2312" w:eastAsia="仿宋_GB2312" w:cs="仿宋_GB2312"/>
                <w:color w:val="000000"/>
                <w:kern w:val="0"/>
                <w:sz w:val="22"/>
              </w:rPr>
              <w:t>、202</w:t>
            </w:r>
            <w:r>
              <w:rPr>
                <w:rFonts w:hint="eastAsia" w:ascii="仿宋_GB2312" w:hAnsi="仿宋_GB2312" w:eastAsia="仿宋_GB2312" w:cs="仿宋_GB2312"/>
                <w:color w:val="000000"/>
                <w:kern w:val="0"/>
                <w:sz w:val="22"/>
                <w:lang w:val="en-US" w:eastAsia="zh-CN"/>
              </w:rPr>
              <w:t>2</w:t>
            </w:r>
            <w:r>
              <w:rPr>
                <w:rFonts w:hint="eastAsia" w:ascii="仿宋_GB2312" w:hAnsi="仿宋_GB2312" w:eastAsia="仿宋_GB2312" w:cs="仿宋_GB2312"/>
                <w:color w:val="000000"/>
                <w:kern w:val="0"/>
                <w:sz w:val="22"/>
              </w:rPr>
              <w:t>）满分通过国家卫生健康委室间质评的得2分，未达到不得分。</w:t>
            </w:r>
          </w:p>
        </w:tc>
        <w:tc>
          <w:tcPr>
            <w:tcW w:w="1198" w:type="pct"/>
            <w:vMerge w:val="continue"/>
            <w:tcBorders>
              <w:left w:val="single" w:color="000000" w:sz="8" w:space="0"/>
              <w:right w:val="single" w:color="000000" w:sz="8" w:space="0"/>
            </w:tcBorders>
            <w:shd w:val="clear" w:color="auto" w:fill="FFFFFF"/>
            <w:tcMar>
              <w:top w:w="15" w:type="dxa"/>
              <w:left w:w="15" w:type="dxa"/>
              <w:right w:w="15" w:type="dxa"/>
            </w:tcMar>
            <w:vAlign w:val="center"/>
          </w:tcPr>
          <w:p w14:paraId="1FFEA89E">
            <w:pPr>
              <w:jc w:val="center"/>
              <w:rPr>
                <w:rFonts w:ascii="仿宋_GB2312" w:hAnsi="仿宋_GB2312" w:eastAsia="仿宋_GB2312" w:cs="仿宋_GB2312"/>
                <w:color w:val="000000"/>
                <w:sz w:val="24"/>
                <w:szCs w:val="24"/>
              </w:rPr>
            </w:pPr>
          </w:p>
        </w:tc>
      </w:tr>
      <w:tr w14:paraId="053B4279">
        <w:tblPrEx>
          <w:tblCellMar>
            <w:top w:w="0" w:type="dxa"/>
            <w:left w:w="0" w:type="dxa"/>
            <w:bottom w:w="0" w:type="dxa"/>
            <w:right w:w="0" w:type="dxa"/>
          </w:tblCellMar>
        </w:tblPrEx>
        <w:trPr>
          <w:trHeight w:val="760" w:hRule="atLeast"/>
          <w:jc w:val="center"/>
        </w:trPr>
        <w:tc>
          <w:tcPr>
            <w:tcW w:w="232" w:type="pct"/>
            <w:vMerge w:val="continue"/>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14:paraId="231B2525">
            <w:pPr>
              <w:jc w:val="center"/>
              <w:rPr>
                <w:rFonts w:ascii="仿宋_GB2312" w:hAnsi="仿宋_GB2312" w:eastAsia="仿宋_GB2312" w:cs="仿宋_GB2312"/>
                <w:b/>
                <w:color w:val="000000"/>
                <w:sz w:val="24"/>
                <w:szCs w:val="24"/>
              </w:rPr>
            </w:pPr>
          </w:p>
        </w:tc>
        <w:tc>
          <w:tcPr>
            <w:tcW w:w="986" w:type="pct"/>
            <w:vMerge w:val="continue"/>
            <w:tcBorders>
              <w:top w:val="single" w:color="000000" w:sz="8" w:space="0"/>
              <w:left w:val="single" w:color="000000" w:sz="8" w:space="0"/>
              <w:bottom w:val="single" w:color="auto" w:sz="4" w:space="0"/>
              <w:right w:val="single" w:color="000000" w:sz="8" w:space="0"/>
            </w:tcBorders>
            <w:shd w:val="clear" w:color="auto" w:fill="FFFFFF"/>
            <w:tcMar>
              <w:top w:w="15" w:type="dxa"/>
              <w:left w:w="15" w:type="dxa"/>
              <w:right w:w="15" w:type="dxa"/>
            </w:tcMar>
            <w:vAlign w:val="center"/>
          </w:tcPr>
          <w:p w14:paraId="19E8B10A">
            <w:pPr>
              <w:jc w:val="center"/>
              <w:rPr>
                <w:rFonts w:ascii="仿宋_GB2312" w:hAnsi="仿宋_GB2312" w:eastAsia="仿宋_GB2312" w:cs="仿宋_GB2312"/>
                <w:color w:val="000000"/>
                <w:sz w:val="24"/>
                <w:szCs w:val="24"/>
              </w:rPr>
            </w:pPr>
          </w:p>
        </w:tc>
        <w:tc>
          <w:tcPr>
            <w:tcW w:w="375" w:type="pct"/>
            <w:tcBorders>
              <w:top w:val="nil"/>
              <w:left w:val="nil"/>
              <w:bottom w:val="single" w:color="auto" w:sz="4" w:space="0"/>
              <w:right w:val="single" w:color="000000" w:sz="8" w:space="0"/>
            </w:tcBorders>
            <w:shd w:val="clear" w:color="auto" w:fill="FFFFFF"/>
            <w:tcMar>
              <w:top w:w="15" w:type="dxa"/>
              <w:left w:w="15" w:type="dxa"/>
              <w:right w:w="15" w:type="dxa"/>
            </w:tcMar>
            <w:vAlign w:val="center"/>
          </w:tcPr>
          <w:p w14:paraId="6DBCF52B">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3</w:t>
            </w:r>
          </w:p>
        </w:tc>
        <w:tc>
          <w:tcPr>
            <w:tcW w:w="2207" w:type="pct"/>
            <w:tcBorders>
              <w:top w:val="nil"/>
              <w:left w:val="nil"/>
              <w:bottom w:val="single" w:color="auto" w:sz="4" w:space="0"/>
              <w:right w:val="single" w:color="000000" w:sz="8" w:space="0"/>
            </w:tcBorders>
            <w:shd w:val="clear" w:color="auto" w:fill="auto"/>
            <w:tcMar>
              <w:top w:w="15" w:type="dxa"/>
              <w:left w:w="15" w:type="dxa"/>
              <w:right w:w="15" w:type="dxa"/>
            </w:tcMar>
            <w:vAlign w:val="center"/>
          </w:tcPr>
          <w:p w14:paraId="26061330">
            <w:pPr>
              <w:widowControl/>
              <w:jc w:val="left"/>
              <w:textAlignment w:val="center"/>
              <w:rPr>
                <w:rFonts w:ascii="仿宋_GB2312" w:hAnsi="仿宋_GB2312" w:eastAsia="仿宋_GB2312" w:cs="仿宋_GB2312"/>
                <w:color w:val="000000"/>
                <w:sz w:val="22"/>
              </w:rPr>
            </w:pPr>
            <w:r>
              <w:rPr>
                <w:rFonts w:hint="eastAsia" w:ascii="仿宋_GB2312" w:hAnsi="仿宋_GB2312" w:eastAsia="仿宋_GB2312" w:cs="仿宋_GB2312"/>
                <w:color w:val="000000"/>
                <w:kern w:val="0"/>
                <w:sz w:val="22"/>
              </w:rPr>
              <w:t>为满足检测通量要求，至少满足单台测序设备、单次运行可检验样本量不低于96例，达到192例及以上的得3分，96（含）-19</w:t>
            </w:r>
            <w:r>
              <w:rPr>
                <w:rFonts w:ascii="仿宋_GB2312" w:hAnsi="仿宋_GB2312" w:eastAsia="仿宋_GB2312" w:cs="仿宋_GB2312"/>
                <w:color w:val="000000"/>
                <w:kern w:val="0"/>
                <w:sz w:val="22"/>
              </w:rPr>
              <w:t>1</w:t>
            </w:r>
            <w:r>
              <w:rPr>
                <w:rFonts w:hint="eastAsia" w:ascii="仿宋_GB2312" w:hAnsi="仿宋_GB2312" w:eastAsia="仿宋_GB2312" w:cs="仿宋_GB2312"/>
                <w:color w:val="000000"/>
                <w:kern w:val="0"/>
                <w:sz w:val="22"/>
              </w:rPr>
              <w:t>例的得1分，低于96例的得0分。（提供证明文件）。</w:t>
            </w:r>
          </w:p>
        </w:tc>
        <w:tc>
          <w:tcPr>
            <w:tcW w:w="1198" w:type="pct"/>
            <w:vMerge w:val="continue"/>
            <w:tcBorders>
              <w:left w:val="single" w:color="000000" w:sz="8" w:space="0"/>
              <w:right w:val="single" w:color="000000" w:sz="8" w:space="0"/>
            </w:tcBorders>
            <w:shd w:val="clear" w:color="auto" w:fill="FFFFFF"/>
            <w:tcMar>
              <w:top w:w="15" w:type="dxa"/>
              <w:left w:w="15" w:type="dxa"/>
              <w:right w:w="15" w:type="dxa"/>
            </w:tcMar>
            <w:vAlign w:val="center"/>
          </w:tcPr>
          <w:p w14:paraId="60D243E7">
            <w:pPr>
              <w:jc w:val="center"/>
              <w:rPr>
                <w:rFonts w:ascii="仿宋_GB2312" w:hAnsi="仿宋_GB2312" w:eastAsia="仿宋_GB2312" w:cs="仿宋_GB2312"/>
                <w:color w:val="000000"/>
                <w:sz w:val="24"/>
                <w:szCs w:val="24"/>
              </w:rPr>
            </w:pPr>
          </w:p>
        </w:tc>
      </w:tr>
      <w:tr w14:paraId="350313BA">
        <w:tblPrEx>
          <w:tblCellMar>
            <w:top w:w="0" w:type="dxa"/>
            <w:left w:w="0" w:type="dxa"/>
            <w:bottom w:w="0" w:type="dxa"/>
            <w:right w:w="0" w:type="dxa"/>
          </w:tblCellMar>
        </w:tblPrEx>
        <w:trPr>
          <w:trHeight w:val="1300" w:hRule="atLeast"/>
          <w:jc w:val="center"/>
        </w:trPr>
        <w:tc>
          <w:tcPr>
            <w:tcW w:w="232" w:type="pct"/>
            <w:vMerge w:val="continue"/>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14:paraId="4CACFBFB">
            <w:pPr>
              <w:jc w:val="center"/>
              <w:rPr>
                <w:rFonts w:ascii="仿宋" w:hAnsi="仿宋" w:eastAsia="仿宋" w:cs="仿宋"/>
                <w:b/>
                <w:color w:val="000000"/>
                <w:sz w:val="24"/>
                <w:szCs w:val="24"/>
              </w:rPr>
            </w:pPr>
          </w:p>
        </w:tc>
        <w:tc>
          <w:tcPr>
            <w:tcW w:w="986" w:type="pct"/>
            <w:vMerge w:val="continue"/>
            <w:tcBorders>
              <w:top w:val="single" w:color="auto" w:sz="4" w:space="0"/>
              <w:left w:val="single" w:color="000000" w:sz="8" w:space="0"/>
              <w:bottom w:val="single" w:color="auto" w:sz="4" w:space="0"/>
              <w:right w:val="single" w:color="000000" w:sz="8" w:space="0"/>
            </w:tcBorders>
            <w:shd w:val="clear" w:color="auto" w:fill="FFFFFF"/>
            <w:tcMar>
              <w:top w:w="15" w:type="dxa"/>
              <w:left w:w="15" w:type="dxa"/>
              <w:right w:w="15" w:type="dxa"/>
            </w:tcMar>
            <w:vAlign w:val="center"/>
          </w:tcPr>
          <w:p w14:paraId="7CDEB84B">
            <w:pPr>
              <w:jc w:val="center"/>
              <w:rPr>
                <w:rFonts w:ascii="仿宋" w:hAnsi="仿宋" w:eastAsia="仿宋" w:cs="仿宋"/>
                <w:color w:val="000000"/>
                <w:sz w:val="24"/>
                <w:szCs w:val="24"/>
              </w:rPr>
            </w:pPr>
          </w:p>
        </w:tc>
        <w:tc>
          <w:tcPr>
            <w:tcW w:w="375" w:type="pct"/>
            <w:tcBorders>
              <w:top w:val="single" w:color="auto" w:sz="4" w:space="0"/>
              <w:left w:val="nil"/>
              <w:bottom w:val="single" w:color="auto" w:sz="4" w:space="0"/>
              <w:right w:val="single" w:color="000000" w:sz="8" w:space="0"/>
            </w:tcBorders>
            <w:shd w:val="clear" w:color="auto" w:fill="FFFFFF"/>
            <w:tcMar>
              <w:top w:w="15" w:type="dxa"/>
              <w:left w:w="15" w:type="dxa"/>
              <w:right w:w="15" w:type="dxa"/>
            </w:tcMar>
            <w:vAlign w:val="center"/>
          </w:tcPr>
          <w:p w14:paraId="33458715">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2</w:t>
            </w:r>
          </w:p>
        </w:tc>
        <w:tc>
          <w:tcPr>
            <w:tcW w:w="2207" w:type="pc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14:paraId="4FF1D856">
            <w:pPr>
              <w:widowControl/>
              <w:jc w:val="left"/>
              <w:textAlignment w:val="center"/>
              <w:rPr>
                <w:rFonts w:ascii="仿宋_GB2312" w:hAnsi="仿宋_GB2312" w:eastAsia="仿宋_GB2312" w:cs="仿宋_GB2312"/>
                <w:color w:val="000000"/>
                <w:sz w:val="22"/>
              </w:rPr>
            </w:pPr>
            <w:r>
              <w:rPr>
                <w:rFonts w:hint="eastAsia" w:ascii="仿宋_GB2312" w:hAnsi="仿宋_GB2312" w:eastAsia="仿宋_GB2312" w:cs="仿宋_GB2312"/>
                <w:color w:val="000000"/>
                <w:kern w:val="0"/>
                <w:sz w:val="22"/>
              </w:rPr>
              <w:t>参选单位具备较强生物信息分析和研究能力。参选单位或其员工以第一作者身份在国际顶级杂志发表过NIPT生物信息算法且影响因子9分及以上高质量文章的得2分；8～9分得1分，其余不得分。（提供作者与参选单位存续劳动合同、文章影响因子分值及其他证明文件）</w:t>
            </w:r>
          </w:p>
        </w:tc>
        <w:tc>
          <w:tcPr>
            <w:tcW w:w="1198" w:type="pct"/>
            <w:vMerge w:val="continue"/>
            <w:tcBorders>
              <w:left w:val="single" w:color="000000" w:sz="8" w:space="0"/>
              <w:bottom w:val="single" w:color="auto" w:sz="4" w:space="0"/>
              <w:right w:val="single" w:color="000000" w:sz="8" w:space="0"/>
            </w:tcBorders>
            <w:shd w:val="clear" w:color="auto" w:fill="FFFFFF"/>
            <w:tcMar>
              <w:top w:w="15" w:type="dxa"/>
              <w:left w:w="15" w:type="dxa"/>
              <w:right w:w="15" w:type="dxa"/>
            </w:tcMar>
            <w:vAlign w:val="center"/>
          </w:tcPr>
          <w:p w14:paraId="33814348">
            <w:pPr>
              <w:jc w:val="center"/>
              <w:rPr>
                <w:rFonts w:ascii="仿宋" w:hAnsi="仿宋" w:eastAsia="仿宋" w:cs="仿宋"/>
                <w:color w:val="000000"/>
                <w:sz w:val="24"/>
                <w:szCs w:val="24"/>
              </w:rPr>
            </w:pPr>
          </w:p>
        </w:tc>
      </w:tr>
      <w:tr w14:paraId="6B37280A">
        <w:tblPrEx>
          <w:tblCellMar>
            <w:top w:w="0" w:type="dxa"/>
            <w:left w:w="0" w:type="dxa"/>
            <w:bottom w:w="0" w:type="dxa"/>
            <w:right w:w="0" w:type="dxa"/>
          </w:tblCellMar>
        </w:tblPrEx>
        <w:trPr>
          <w:trHeight w:val="1260" w:hRule="atLeast"/>
          <w:jc w:val="center"/>
        </w:trPr>
        <w:tc>
          <w:tcPr>
            <w:tcW w:w="232" w:type="pct"/>
            <w:vMerge w:val="continue"/>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14:paraId="5DB46E58">
            <w:pPr>
              <w:jc w:val="center"/>
              <w:rPr>
                <w:rFonts w:ascii="仿宋" w:hAnsi="仿宋" w:eastAsia="仿宋" w:cs="仿宋"/>
                <w:b/>
                <w:color w:val="000000"/>
                <w:sz w:val="24"/>
                <w:szCs w:val="24"/>
              </w:rPr>
            </w:pPr>
          </w:p>
        </w:tc>
        <w:tc>
          <w:tcPr>
            <w:tcW w:w="986" w:type="pct"/>
            <w:vMerge w:val="continue"/>
            <w:tcBorders>
              <w:top w:val="single" w:color="auto" w:sz="4" w:space="0"/>
              <w:left w:val="single" w:color="000000" w:sz="8" w:space="0"/>
              <w:bottom w:val="single" w:color="auto" w:sz="4" w:space="0"/>
              <w:right w:val="single" w:color="000000" w:sz="8" w:space="0"/>
            </w:tcBorders>
            <w:shd w:val="clear" w:color="auto" w:fill="FFFFFF"/>
            <w:tcMar>
              <w:top w:w="15" w:type="dxa"/>
              <w:left w:w="15" w:type="dxa"/>
              <w:right w:w="15" w:type="dxa"/>
            </w:tcMar>
            <w:vAlign w:val="center"/>
          </w:tcPr>
          <w:p w14:paraId="001438A6">
            <w:pPr>
              <w:jc w:val="center"/>
              <w:rPr>
                <w:rFonts w:ascii="仿宋" w:hAnsi="仿宋" w:eastAsia="仿宋" w:cs="仿宋"/>
                <w:color w:val="000000"/>
                <w:sz w:val="24"/>
                <w:szCs w:val="24"/>
              </w:rPr>
            </w:pPr>
          </w:p>
        </w:tc>
        <w:tc>
          <w:tcPr>
            <w:tcW w:w="375" w:type="pct"/>
            <w:tcBorders>
              <w:top w:val="single" w:color="auto" w:sz="4" w:space="0"/>
              <w:left w:val="nil"/>
              <w:bottom w:val="single" w:color="000000" w:sz="8" w:space="0"/>
              <w:right w:val="single" w:color="000000" w:sz="8" w:space="0"/>
            </w:tcBorders>
            <w:shd w:val="clear" w:color="auto" w:fill="FFFFFF"/>
            <w:tcMar>
              <w:top w:w="15" w:type="dxa"/>
              <w:left w:w="15" w:type="dxa"/>
              <w:right w:w="15" w:type="dxa"/>
            </w:tcMar>
            <w:vAlign w:val="center"/>
          </w:tcPr>
          <w:p w14:paraId="3C715E10">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2</w:t>
            </w:r>
          </w:p>
        </w:tc>
        <w:tc>
          <w:tcPr>
            <w:tcW w:w="220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14:paraId="105DF3FB">
            <w:pPr>
              <w:widowControl/>
              <w:jc w:val="left"/>
              <w:textAlignment w:val="center"/>
              <w:rPr>
                <w:rFonts w:ascii="仿宋_GB2312" w:hAnsi="仿宋_GB2312" w:eastAsia="仿宋_GB2312" w:cs="仿宋_GB2312"/>
                <w:color w:val="000000"/>
                <w:sz w:val="22"/>
              </w:rPr>
            </w:pPr>
            <w:r>
              <w:rPr>
                <w:rFonts w:hint="eastAsia" w:ascii="仿宋_GB2312" w:hAnsi="仿宋_GB2312" w:eastAsia="仿宋_GB2312" w:cs="仿宋_GB2312"/>
                <w:color w:val="000000"/>
                <w:kern w:val="0"/>
                <w:sz w:val="22"/>
              </w:rPr>
              <w:t>参选单位具备较强科研服务能力。参选单位（包含母公司和子公司）参与科技部国家重点研发计划“生殖健康及重大出生缺陷防控研究”重点专项，并承担至少一项子课题的得2分；参与医疗卫生相关其他领域国家重点研发计划并承担至少一项子课题的得1分；其余不得分。（提供证明文件）</w:t>
            </w:r>
          </w:p>
        </w:tc>
        <w:tc>
          <w:tcPr>
            <w:tcW w:w="1198" w:type="pct"/>
            <w:vMerge w:val="continue"/>
            <w:tcBorders>
              <w:top w:val="single" w:color="auto" w:sz="4" w:space="0"/>
              <w:left w:val="single" w:color="000000" w:sz="8" w:space="0"/>
              <w:right w:val="single" w:color="000000" w:sz="8" w:space="0"/>
            </w:tcBorders>
            <w:shd w:val="clear" w:color="auto" w:fill="FFFFFF"/>
            <w:tcMar>
              <w:top w:w="15" w:type="dxa"/>
              <w:left w:w="15" w:type="dxa"/>
              <w:right w:w="15" w:type="dxa"/>
            </w:tcMar>
            <w:vAlign w:val="center"/>
          </w:tcPr>
          <w:p w14:paraId="2F389FBC">
            <w:pPr>
              <w:jc w:val="center"/>
              <w:rPr>
                <w:rFonts w:ascii="仿宋" w:hAnsi="仿宋" w:eastAsia="仿宋" w:cs="仿宋"/>
                <w:color w:val="000000"/>
                <w:sz w:val="24"/>
                <w:szCs w:val="24"/>
              </w:rPr>
            </w:pPr>
          </w:p>
        </w:tc>
      </w:tr>
      <w:tr w14:paraId="6B609725">
        <w:tblPrEx>
          <w:tblCellMar>
            <w:top w:w="0" w:type="dxa"/>
            <w:left w:w="0" w:type="dxa"/>
            <w:bottom w:w="0" w:type="dxa"/>
            <w:right w:w="0" w:type="dxa"/>
          </w:tblCellMar>
        </w:tblPrEx>
        <w:trPr>
          <w:trHeight w:val="1640" w:hRule="atLeast"/>
          <w:jc w:val="center"/>
        </w:trPr>
        <w:tc>
          <w:tcPr>
            <w:tcW w:w="232" w:type="pct"/>
            <w:vMerge w:val="continue"/>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14:paraId="77416E5A">
            <w:pPr>
              <w:jc w:val="center"/>
              <w:rPr>
                <w:rFonts w:ascii="仿宋" w:hAnsi="仿宋" w:eastAsia="仿宋" w:cs="仿宋"/>
                <w:b/>
                <w:color w:val="000000"/>
                <w:sz w:val="24"/>
                <w:szCs w:val="24"/>
              </w:rPr>
            </w:pPr>
          </w:p>
        </w:tc>
        <w:tc>
          <w:tcPr>
            <w:tcW w:w="986" w:type="pct"/>
            <w:vMerge w:val="continue"/>
            <w:tcBorders>
              <w:top w:val="single" w:color="auto" w:sz="4" w:space="0"/>
              <w:left w:val="single" w:color="000000" w:sz="8" w:space="0"/>
              <w:bottom w:val="single" w:color="auto" w:sz="4" w:space="0"/>
              <w:right w:val="single" w:color="000000" w:sz="8" w:space="0"/>
            </w:tcBorders>
            <w:shd w:val="clear" w:color="auto" w:fill="FFFFFF"/>
            <w:tcMar>
              <w:top w:w="15" w:type="dxa"/>
              <w:left w:w="15" w:type="dxa"/>
              <w:right w:w="15" w:type="dxa"/>
            </w:tcMar>
            <w:vAlign w:val="center"/>
          </w:tcPr>
          <w:p w14:paraId="19EBBD59">
            <w:pPr>
              <w:jc w:val="center"/>
              <w:rPr>
                <w:rFonts w:ascii="仿宋" w:hAnsi="仿宋" w:eastAsia="仿宋" w:cs="仿宋"/>
                <w:color w:val="000000"/>
                <w:sz w:val="24"/>
                <w:szCs w:val="24"/>
              </w:rPr>
            </w:pPr>
          </w:p>
        </w:tc>
        <w:tc>
          <w:tcPr>
            <w:tcW w:w="375" w:type="pc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72999F5">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3</w:t>
            </w:r>
          </w:p>
        </w:tc>
        <w:tc>
          <w:tcPr>
            <w:tcW w:w="2207"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410923F">
            <w:pPr>
              <w:widowControl/>
              <w:jc w:val="left"/>
              <w:textAlignment w:val="center"/>
              <w:rPr>
                <w:rFonts w:ascii="仿宋_GB2312" w:hAnsi="仿宋_GB2312" w:eastAsia="仿宋_GB2312" w:cs="仿宋_GB2312"/>
                <w:color w:val="000000"/>
                <w:sz w:val="22"/>
              </w:rPr>
            </w:pPr>
            <w:r>
              <w:rPr>
                <w:rFonts w:hint="eastAsia" w:ascii="仿宋_GB2312" w:hAnsi="仿宋_GB2312" w:eastAsia="仿宋_GB2312" w:cs="仿宋_GB2312"/>
                <w:color w:val="000000"/>
                <w:kern w:val="0"/>
                <w:sz w:val="22"/>
              </w:rPr>
              <w:t>参选单位在成都市内投资（持股）有本地实验室。满足的得3分，不满足的不得分。（提供该实验室股权证明和实验室相关资质证明）</w:t>
            </w:r>
          </w:p>
        </w:tc>
        <w:tc>
          <w:tcPr>
            <w:tcW w:w="1198" w:type="pct"/>
            <w:vMerge w:val="continue"/>
            <w:tcBorders>
              <w:left w:val="single" w:color="000000" w:sz="8" w:space="0"/>
              <w:right w:val="single" w:color="000000" w:sz="8" w:space="0"/>
            </w:tcBorders>
            <w:shd w:val="clear" w:color="auto" w:fill="FFFFFF"/>
            <w:tcMar>
              <w:top w:w="15" w:type="dxa"/>
              <w:left w:w="15" w:type="dxa"/>
              <w:right w:w="15" w:type="dxa"/>
            </w:tcMar>
            <w:vAlign w:val="center"/>
          </w:tcPr>
          <w:p w14:paraId="422DEA6A">
            <w:pPr>
              <w:jc w:val="center"/>
              <w:rPr>
                <w:rFonts w:ascii="仿宋" w:hAnsi="仿宋" w:eastAsia="仿宋" w:cs="仿宋"/>
                <w:color w:val="000000"/>
                <w:sz w:val="24"/>
                <w:szCs w:val="24"/>
              </w:rPr>
            </w:pPr>
          </w:p>
        </w:tc>
      </w:tr>
      <w:tr w14:paraId="2044BE9C">
        <w:tblPrEx>
          <w:tblCellMar>
            <w:top w:w="0" w:type="dxa"/>
            <w:left w:w="0" w:type="dxa"/>
            <w:bottom w:w="0" w:type="dxa"/>
            <w:right w:w="0" w:type="dxa"/>
          </w:tblCellMar>
        </w:tblPrEx>
        <w:trPr>
          <w:trHeight w:val="1260" w:hRule="atLeast"/>
          <w:jc w:val="center"/>
        </w:trPr>
        <w:tc>
          <w:tcPr>
            <w:tcW w:w="232" w:type="pct"/>
            <w:vMerge w:val="continue"/>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14:paraId="446E03DE">
            <w:pPr>
              <w:jc w:val="center"/>
              <w:rPr>
                <w:rFonts w:ascii="仿宋" w:hAnsi="仿宋" w:eastAsia="仿宋" w:cs="仿宋"/>
                <w:b/>
                <w:color w:val="000000"/>
                <w:sz w:val="24"/>
                <w:szCs w:val="24"/>
              </w:rPr>
            </w:pPr>
          </w:p>
        </w:tc>
        <w:tc>
          <w:tcPr>
            <w:tcW w:w="986" w:type="pct"/>
            <w:vMerge w:val="continue"/>
            <w:tcBorders>
              <w:top w:val="single" w:color="auto" w:sz="4" w:space="0"/>
              <w:left w:val="single" w:color="000000" w:sz="8" w:space="0"/>
              <w:bottom w:val="single" w:color="auto" w:sz="4" w:space="0"/>
              <w:right w:val="single" w:color="000000" w:sz="8" w:space="0"/>
            </w:tcBorders>
            <w:shd w:val="clear" w:color="auto" w:fill="FFFFFF"/>
            <w:tcMar>
              <w:top w:w="15" w:type="dxa"/>
              <w:left w:w="15" w:type="dxa"/>
              <w:right w:w="15" w:type="dxa"/>
            </w:tcMar>
            <w:vAlign w:val="center"/>
          </w:tcPr>
          <w:p w14:paraId="346C45D4">
            <w:pPr>
              <w:jc w:val="center"/>
              <w:rPr>
                <w:rFonts w:ascii="仿宋" w:hAnsi="仿宋" w:eastAsia="仿宋" w:cs="仿宋"/>
                <w:color w:val="000000"/>
                <w:sz w:val="24"/>
                <w:szCs w:val="24"/>
              </w:rPr>
            </w:pPr>
          </w:p>
        </w:tc>
        <w:tc>
          <w:tcPr>
            <w:tcW w:w="375" w:type="pct"/>
            <w:tcBorders>
              <w:top w:val="nil"/>
              <w:left w:val="nil"/>
              <w:bottom w:val="single" w:color="auto" w:sz="4" w:space="0"/>
              <w:right w:val="single" w:color="000000" w:sz="8" w:space="0"/>
            </w:tcBorders>
            <w:shd w:val="clear" w:color="auto" w:fill="FFFFFF"/>
            <w:tcMar>
              <w:top w:w="15" w:type="dxa"/>
              <w:left w:w="15" w:type="dxa"/>
              <w:right w:w="15" w:type="dxa"/>
            </w:tcMar>
            <w:vAlign w:val="center"/>
          </w:tcPr>
          <w:p w14:paraId="43C53DC9">
            <w:pPr>
              <w:widowControl/>
              <w:jc w:val="center"/>
              <w:textAlignment w:val="center"/>
              <w:rPr>
                <w:rFonts w:ascii="仿宋_GB2312" w:hAnsi="仿宋_GB2312" w:eastAsia="仿宋_GB2312" w:cs="仿宋_GB2312"/>
                <w:bCs/>
                <w:color w:val="000000"/>
                <w:sz w:val="22"/>
              </w:rPr>
            </w:pPr>
            <w:r>
              <w:rPr>
                <w:rFonts w:hint="eastAsia" w:ascii="仿宋_GB2312" w:hAnsi="仿宋_GB2312" w:eastAsia="仿宋_GB2312" w:cs="仿宋_GB2312"/>
                <w:bCs/>
                <w:color w:val="000000"/>
                <w:kern w:val="0"/>
                <w:sz w:val="22"/>
              </w:rPr>
              <w:t>1</w:t>
            </w:r>
            <w:r>
              <w:rPr>
                <w:rFonts w:ascii="仿宋_GB2312" w:hAnsi="仿宋_GB2312" w:eastAsia="仿宋_GB2312" w:cs="仿宋_GB2312"/>
                <w:bCs/>
                <w:color w:val="000000"/>
                <w:kern w:val="0"/>
                <w:sz w:val="22"/>
              </w:rPr>
              <w:t>7</w:t>
            </w:r>
          </w:p>
        </w:tc>
        <w:tc>
          <w:tcPr>
            <w:tcW w:w="2207" w:type="pct"/>
            <w:tcBorders>
              <w:top w:val="nil"/>
              <w:left w:val="nil"/>
              <w:bottom w:val="single" w:color="auto" w:sz="4" w:space="0"/>
              <w:right w:val="single" w:color="000000" w:sz="8" w:space="0"/>
            </w:tcBorders>
            <w:shd w:val="clear" w:color="auto" w:fill="auto"/>
            <w:tcMar>
              <w:top w:w="15" w:type="dxa"/>
              <w:left w:w="15" w:type="dxa"/>
              <w:right w:w="15" w:type="dxa"/>
            </w:tcMar>
            <w:vAlign w:val="center"/>
          </w:tcPr>
          <w:p w14:paraId="5ABA5307">
            <w:pPr>
              <w:widowControl/>
              <w:jc w:val="left"/>
              <w:textAlignment w:val="center"/>
              <w:rPr>
                <w:rFonts w:ascii="仿宋_GB2312" w:hAnsi="仿宋_GB2312" w:eastAsia="仿宋_GB2312" w:cs="仿宋_GB2312"/>
                <w:color w:val="000000"/>
                <w:sz w:val="22"/>
              </w:rPr>
            </w:pPr>
            <w:r>
              <w:rPr>
                <w:rFonts w:hint="eastAsia" w:ascii="仿宋_GB2312" w:hAnsi="仿宋_GB2312" w:eastAsia="仿宋_GB2312" w:cs="仿宋_GB2312"/>
                <w:color w:val="000000"/>
                <w:sz w:val="22"/>
              </w:rPr>
              <w:t>在</w:t>
            </w:r>
            <w:bookmarkStart w:id="2" w:name="OLE_LINK2"/>
            <w:r>
              <w:rPr>
                <w:rFonts w:hint="eastAsia" w:ascii="仿宋_GB2312" w:hAnsi="仿宋_GB2312" w:eastAsia="仿宋_GB2312" w:cs="仿宋_GB2312"/>
                <w:color w:val="000000"/>
                <w:sz w:val="22"/>
              </w:rPr>
              <w:t>NIPT项目</w:t>
            </w:r>
            <w:bookmarkEnd w:id="2"/>
            <w:r>
              <w:rPr>
                <w:rFonts w:hint="eastAsia" w:ascii="仿宋_GB2312" w:hAnsi="仿宋_GB2312" w:eastAsia="仿宋_GB2312" w:cs="仿宋_GB2312"/>
                <w:color w:val="000000"/>
                <w:sz w:val="22"/>
              </w:rPr>
              <w:t>规范化开展方面，参选单位</w:t>
            </w:r>
            <w:r>
              <w:rPr>
                <w:rFonts w:hint="eastAsia" w:ascii="仿宋_GB2312" w:hAnsi="仿宋_GB2312" w:eastAsia="仿宋_GB2312" w:cs="仿宋_GB2312"/>
                <w:color w:val="000000"/>
                <w:kern w:val="0"/>
                <w:sz w:val="22"/>
              </w:rPr>
              <w:t>处在合作期内的</w:t>
            </w:r>
            <w:r>
              <w:rPr>
                <w:rFonts w:hint="eastAsia" w:ascii="仿宋_GB2312" w:hAnsi="仿宋_GB2312" w:eastAsia="仿宋_GB2312" w:cs="仿宋_GB2312"/>
                <w:color w:val="000000"/>
                <w:sz w:val="22"/>
              </w:rPr>
              <w:t>向四川省内具备产筛</w:t>
            </w:r>
            <w:r>
              <w:rPr>
                <w:rFonts w:hint="eastAsia" w:ascii="仿宋_GB2312" w:hAnsi="仿宋_GB2312" w:eastAsia="仿宋_GB2312" w:cs="仿宋_GB2312"/>
                <w:color w:val="000000"/>
                <w:kern w:val="0"/>
                <w:sz w:val="22"/>
              </w:rPr>
              <w:t>、</w:t>
            </w:r>
            <w:r>
              <w:rPr>
                <w:rFonts w:hint="eastAsia" w:ascii="仿宋_GB2312" w:hAnsi="仿宋_GB2312" w:eastAsia="仿宋_GB2312" w:cs="仿宋_GB2312"/>
                <w:color w:val="000000"/>
                <w:sz w:val="22"/>
              </w:rPr>
              <w:t>产诊资质的医疗机构提供</w:t>
            </w:r>
            <w:r>
              <w:rPr>
                <w:rFonts w:ascii="仿宋_GB2312" w:hAnsi="仿宋_GB2312" w:eastAsia="仿宋_GB2312" w:cs="仿宋_GB2312"/>
                <w:color w:val="000000"/>
                <w:sz w:val="22"/>
              </w:rPr>
              <w:t>本</w:t>
            </w:r>
            <w:r>
              <w:rPr>
                <w:rFonts w:hint="eastAsia" w:ascii="仿宋_GB2312" w:hAnsi="仿宋_GB2312" w:eastAsia="仿宋_GB2312" w:cs="仿宋_GB2312"/>
                <w:color w:val="000000"/>
                <w:sz w:val="22"/>
              </w:rPr>
              <w:t>项目检测服务</w:t>
            </w:r>
            <w:r>
              <w:rPr>
                <w:rFonts w:hint="eastAsia" w:ascii="仿宋_GB2312" w:hAnsi="仿宋_GB2312" w:eastAsia="仿宋_GB2312" w:cs="仿宋_GB2312"/>
                <w:color w:val="000000"/>
                <w:kern w:val="0"/>
                <w:sz w:val="22"/>
              </w:rPr>
              <w:t>的机构数量</w:t>
            </w:r>
            <w:r>
              <w:rPr>
                <w:rFonts w:hint="eastAsia" w:ascii="仿宋_GB2312" w:hAnsi="仿宋_GB2312" w:eastAsia="仿宋_GB2312" w:cs="仿宋_GB2312"/>
                <w:color w:val="000000"/>
                <w:sz w:val="22"/>
              </w:rPr>
              <w:t>在1</w:t>
            </w:r>
            <w:r>
              <w:rPr>
                <w:rFonts w:ascii="仿宋_GB2312" w:hAnsi="仿宋_GB2312" w:eastAsia="仿宋_GB2312" w:cs="仿宋_GB2312"/>
                <w:color w:val="000000"/>
                <w:sz w:val="22"/>
              </w:rPr>
              <w:t>4</w:t>
            </w:r>
            <w:r>
              <w:rPr>
                <w:rFonts w:hint="eastAsia" w:ascii="仿宋_GB2312" w:hAnsi="仿宋_GB2312" w:eastAsia="仿宋_GB2312" w:cs="仿宋_GB2312"/>
                <w:color w:val="000000"/>
                <w:sz w:val="22"/>
              </w:rPr>
              <w:t>0家及以上的得1</w:t>
            </w:r>
            <w:r>
              <w:rPr>
                <w:rFonts w:ascii="仿宋_GB2312" w:hAnsi="仿宋_GB2312" w:eastAsia="仿宋_GB2312" w:cs="仿宋_GB2312"/>
                <w:color w:val="000000"/>
                <w:sz w:val="22"/>
              </w:rPr>
              <w:t>7</w:t>
            </w:r>
            <w:r>
              <w:rPr>
                <w:rFonts w:hint="eastAsia" w:ascii="仿宋_GB2312" w:hAnsi="仿宋_GB2312" w:eastAsia="仿宋_GB2312" w:cs="仿宋_GB2312"/>
                <w:color w:val="000000"/>
                <w:sz w:val="22"/>
              </w:rPr>
              <w:t>分，100家-1</w:t>
            </w:r>
            <w:r>
              <w:rPr>
                <w:rFonts w:ascii="仿宋_GB2312" w:hAnsi="仿宋_GB2312" w:eastAsia="仿宋_GB2312" w:cs="仿宋_GB2312"/>
                <w:color w:val="000000"/>
                <w:sz w:val="22"/>
              </w:rPr>
              <w:t>3</w:t>
            </w:r>
            <w:r>
              <w:rPr>
                <w:rFonts w:hint="eastAsia" w:ascii="仿宋_GB2312" w:hAnsi="仿宋_GB2312" w:eastAsia="仿宋_GB2312" w:cs="仿宋_GB2312"/>
                <w:color w:val="000000"/>
                <w:sz w:val="22"/>
              </w:rPr>
              <w:t>9家的得1</w:t>
            </w:r>
            <w:r>
              <w:rPr>
                <w:rFonts w:ascii="仿宋_GB2312" w:hAnsi="仿宋_GB2312" w:eastAsia="仿宋_GB2312" w:cs="仿宋_GB2312"/>
                <w:color w:val="000000"/>
                <w:sz w:val="22"/>
              </w:rPr>
              <w:t>1</w:t>
            </w:r>
            <w:r>
              <w:rPr>
                <w:rFonts w:hint="eastAsia" w:ascii="仿宋_GB2312" w:hAnsi="仿宋_GB2312" w:eastAsia="仿宋_GB2312" w:cs="仿宋_GB2312"/>
                <w:color w:val="000000"/>
                <w:sz w:val="22"/>
              </w:rPr>
              <w:t>分，</w:t>
            </w:r>
            <w:r>
              <w:rPr>
                <w:rFonts w:ascii="仿宋_GB2312" w:hAnsi="仿宋_GB2312" w:eastAsia="仿宋_GB2312" w:cs="仿宋_GB2312"/>
                <w:color w:val="000000"/>
                <w:sz w:val="22"/>
              </w:rPr>
              <w:t>5</w:t>
            </w:r>
            <w:r>
              <w:rPr>
                <w:rFonts w:hint="eastAsia" w:ascii="仿宋_GB2312" w:hAnsi="仿宋_GB2312" w:eastAsia="仿宋_GB2312" w:cs="仿宋_GB2312"/>
                <w:color w:val="000000"/>
                <w:sz w:val="22"/>
              </w:rPr>
              <w:t>0家-99家的得</w:t>
            </w:r>
            <w:r>
              <w:rPr>
                <w:rFonts w:ascii="仿宋_GB2312" w:hAnsi="仿宋_GB2312" w:eastAsia="仿宋_GB2312" w:cs="仿宋_GB2312"/>
                <w:color w:val="000000"/>
                <w:sz w:val="22"/>
              </w:rPr>
              <w:t>6</w:t>
            </w:r>
            <w:r>
              <w:rPr>
                <w:rFonts w:hint="eastAsia" w:ascii="仿宋_GB2312" w:hAnsi="仿宋_GB2312" w:eastAsia="仿宋_GB2312" w:cs="仿宋_GB2312"/>
                <w:color w:val="000000"/>
                <w:sz w:val="22"/>
              </w:rPr>
              <w:t>分，</w:t>
            </w:r>
            <w:r>
              <w:rPr>
                <w:rFonts w:ascii="仿宋_GB2312" w:hAnsi="仿宋_GB2312" w:eastAsia="仿宋_GB2312" w:cs="仿宋_GB2312"/>
                <w:color w:val="000000"/>
                <w:sz w:val="22"/>
              </w:rPr>
              <w:t>4</w:t>
            </w:r>
            <w:r>
              <w:rPr>
                <w:rFonts w:hint="eastAsia" w:ascii="仿宋_GB2312" w:hAnsi="仿宋_GB2312" w:eastAsia="仿宋_GB2312" w:cs="仿宋_GB2312"/>
                <w:color w:val="000000"/>
                <w:sz w:val="22"/>
              </w:rPr>
              <w:t>9家及以下的得</w:t>
            </w:r>
            <w:r>
              <w:rPr>
                <w:rFonts w:ascii="仿宋_GB2312" w:hAnsi="仿宋_GB2312" w:eastAsia="仿宋_GB2312" w:cs="仿宋_GB2312"/>
                <w:color w:val="000000"/>
                <w:sz w:val="22"/>
              </w:rPr>
              <w:t>1</w:t>
            </w:r>
            <w:r>
              <w:rPr>
                <w:rFonts w:hint="eastAsia" w:ascii="仿宋_GB2312" w:hAnsi="仿宋_GB2312" w:eastAsia="仿宋_GB2312" w:cs="仿宋_GB2312"/>
                <w:color w:val="000000"/>
                <w:sz w:val="22"/>
              </w:rPr>
              <w:t>分。未提供相关证明</w:t>
            </w:r>
            <w:r>
              <w:rPr>
                <w:rFonts w:hint="eastAsia" w:ascii="仿宋_GB2312" w:hAnsi="仿宋_GB2312" w:eastAsia="仿宋_GB2312" w:cs="仿宋_GB2312"/>
                <w:color w:val="000000"/>
                <w:kern w:val="0"/>
                <w:sz w:val="22"/>
              </w:rPr>
              <w:t>文件</w:t>
            </w:r>
            <w:r>
              <w:rPr>
                <w:rFonts w:hint="eastAsia" w:ascii="仿宋_GB2312" w:hAnsi="仿宋_GB2312" w:eastAsia="仿宋_GB2312" w:cs="仿宋_GB2312"/>
                <w:color w:val="000000"/>
                <w:sz w:val="22"/>
              </w:rPr>
              <w:t>的不得分（</w:t>
            </w:r>
            <w:r>
              <w:rPr>
                <w:rFonts w:ascii="仿宋_GB2312" w:hAnsi="仿宋_GB2312" w:eastAsia="仿宋_GB2312" w:cs="仿宋_GB2312"/>
                <w:color w:val="000000"/>
                <w:sz w:val="22"/>
              </w:rPr>
              <w:t>需提供参选单位</w:t>
            </w:r>
            <w:r>
              <w:rPr>
                <w:rFonts w:hint="eastAsia" w:ascii="仿宋_GB2312" w:hAnsi="仿宋_GB2312" w:eastAsia="仿宋_GB2312" w:cs="仿宋_GB2312"/>
                <w:color w:val="000000"/>
                <w:sz w:val="22"/>
              </w:rPr>
              <w:t>在四川省内</w:t>
            </w:r>
            <w:r>
              <w:rPr>
                <w:rFonts w:ascii="仿宋_GB2312" w:hAnsi="仿宋_GB2312" w:eastAsia="仿宋_GB2312" w:cs="仿宋_GB2312"/>
                <w:color w:val="000000"/>
                <w:sz w:val="22"/>
              </w:rPr>
              <w:t>从事NIPT项目检测服务</w:t>
            </w:r>
            <w:r>
              <w:rPr>
                <w:rFonts w:hint="eastAsia" w:ascii="仿宋_GB2312" w:hAnsi="仿宋_GB2312" w:eastAsia="仿宋_GB2312" w:cs="仿宋_GB2312"/>
                <w:color w:val="000000"/>
                <w:sz w:val="22"/>
              </w:rPr>
              <w:t>并</w:t>
            </w:r>
            <w:r>
              <w:rPr>
                <w:rFonts w:ascii="仿宋_GB2312" w:hAnsi="仿宋_GB2312" w:eastAsia="仿宋_GB2312" w:cs="仿宋_GB2312"/>
                <w:color w:val="000000"/>
                <w:sz w:val="22"/>
              </w:rPr>
              <w:t>处在合作期内的产筛、产诊机构合作协议复印件作为相关证明并加盖公章）。</w:t>
            </w:r>
          </w:p>
        </w:tc>
        <w:tc>
          <w:tcPr>
            <w:tcW w:w="1198" w:type="pct"/>
            <w:vMerge w:val="continue"/>
            <w:tcBorders>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B9ADED4">
            <w:pPr>
              <w:jc w:val="center"/>
              <w:rPr>
                <w:rFonts w:ascii="仿宋" w:hAnsi="仿宋" w:eastAsia="仿宋" w:cs="仿宋"/>
                <w:color w:val="000000"/>
                <w:sz w:val="24"/>
                <w:szCs w:val="24"/>
              </w:rPr>
            </w:pPr>
          </w:p>
        </w:tc>
      </w:tr>
      <w:tr w14:paraId="0B1FB04A">
        <w:tblPrEx>
          <w:tblCellMar>
            <w:top w:w="0" w:type="dxa"/>
            <w:left w:w="0" w:type="dxa"/>
            <w:bottom w:w="0" w:type="dxa"/>
            <w:right w:w="0" w:type="dxa"/>
          </w:tblCellMar>
        </w:tblPrEx>
        <w:trPr>
          <w:trHeight w:val="2260" w:hRule="atLeast"/>
          <w:jc w:val="center"/>
        </w:trPr>
        <w:tc>
          <w:tcPr>
            <w:tcW w:w="232" w:type="pct"/>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14:paraId="1240A0D4">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rPr>
              <w:t>4</w:t>
            </w:r>
          </w:p>
        </w:tc>
        <w:tc>
          <w:tcPr>
            <w:tcW w:w="986" w:type="pct"/>
            <w:tcBorders>
              <w:top w:val="single" w:color="auto" w:sz="4" w:space="0"/>
              <w:left w:val="single" w:color="000000" w:sz="8" w:space="0"/>
              <w:bottom w:val="single" w:color="auto" w:sz="4" w:space="0"/>
              <w:right w:val="single" w:color="000000" w:sz="8" w:space="0"/>
            </w:tcBorders>
            <w:shd w:val="clear" w:color="auto" w:fill="FFFFFF"/>
            <w:tcMar>
              <w:top w:w="15" w:type="dxa"/>
              <w:left w:w="15" w:type="dxa"/>
              <w:right w:w="15" w:type="dxa"/>
            </w:tcMar>
            <w:vAlign w:val="center"/>
          </w:tcPr>
          <w:p w14:paraId="53247823">
            <w:pPr>
              <w:widowControl/>
              <w:jc w:val="center"/>
              <w:textAlignment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合作方案</w:t>
            </w:r>
          </w:p>
          <w:p w14:paraId="78A777EC">
            <w:pPr>
              <w:widowControl/>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（1</w:t>
            </w:r>
            <w:r>
              <w:rPr>
                <w:rFonts w:ascii="仿宋_GB2312" w:hAnsi="仿宋_GB2312" w:eastAsia="仿宋_GB2312" w:cs="仿宋_GB2312"/>
                <w:color w:val="000000"/>
                <w:kern w:val="0"/>
                <w:sz w:val="24"/>
                <w:szCs w:val="24"/>
              </w:rPr>
              <w:t>0</w:t>
            </w:r>
            <w:r>
              <w:rPr>
                <w:rFonts w:hint="eastAsia" w:ascii="仿宋_GB2312" w:hAnsi="仿宋_GB2312" w:eastAsia="仿宋_GB2312" w:cs="仿宋_GB2312"/>
                <w:color w:val="000000"/>
                <w:kern w:val="0"/>
                <w:sz w:val="24"/>
                <w:szCs w:val="24"/>
              </w:rPr>
              <w:t>%）</w:t>
            </w:r>
          </w:p>
        </w:tc>
        <w:tc>
          <w:tcPr>
            <w:tcW w:w="375" w:type="pct"/>
            <w:tcBorders>
              <w:top w:val="single" w:color="auto" w:sz="4" w:space="0"/>
              <w:left w:val="nil"/>
              <w:bottom w:val="single" w:color="auto" w:sz="4" w:space="0"/>
              <w:right w:val="single" w:color="000000" w:sz="8" w:space="0"/>
            </w:tcBorders>
            <w:shd w:val="clear" w:color="auto" w:fill="FFFFFF"/>
            <w:tcMar>
              <w:top w:w="15" w:type="dxa"/>
              <w:left w:w="15" w:type="dxa"/>
              <w:right w:w="15" w:type="dxa"/>
            </w:tcMar>
            <w:vAlign w:val="center"/>
          </w:tcPr>
          <w:p w14:paraId="2A2B45E5">
            <w:pPr>
              <w:widowControl/>
              <w:jc w:val="center"/>
              <w:textAlignment w:val="center"/>
              <w:rPr>
                <w:rFonts w:ascii="仿宋_GB2312" w:hAnsi="仿宋_GB2312" w:eastAsia="仿宋_GB2312" w:cs="仿宋_GB2312"/>
                <w:bCs/>
                <w:color w:val="000000"/>
                <w:sz w:val="22"/>
              </w:rPr>
            </w:pPr>
            <w:r>
              <w:rPr>
                <w:rFonts w:hint="eastAsia" w:ascii="仿宋_GB2312" w:hAnsi="仿宋_GB2312" w:eastAsia="仿宋_GB2312" w:cs="仿宋_GB2312"/>
                <w:bCs/>
                <w:color w:val="000000"/>
                <w:kern w:val="0"/>
                <w:sz w:val="22"/>
              </w:rPr>
              <w:t>1</w:t>
            </w:r>
            <w:r>
              <w:rPr>
                <w:rFonts w:ascii="仿宋_GB2312" w:hAnsi="仿宋_GB2312" w:eastAsia="仿宋_GB2312" w:cs="仿宋_GB2312"/>
                <w:bCs/>
                <w:color w:val="000000"/>
                <w:kern w:val="0"/>
                <w:sz w:val="22"/>
              </w:rPr>
              <w:t>0</w:t>
            </w:r>
          </w:p>
        </w:tc>
        <w:tc>
          <w:tcPr>
            <w:tcW w:w="2207" w:type="pct"/>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14:paraId="2DD732E8">
            <w:pPr>
              <w:widowControl/>
              <w:jc w:val="left"/>
              <w:textAlignment w:val="center"/>
              <w:rPr>
                <w:rFonts w:ascii="仿宋_GB2312" w:hAnsi="仿宋_GB2312" w:eastAsia="仿宋_GB2312" w:cs="仿宋_GB2312"/>
                <w:color w:val="000000"/>
                <w:sz w:val="22"/>
              </w:rPr>
            </w:pPr>
            <w:r>
              <w:rPr>
                <w:rFonts w:hint="eastAsia" w:ascii="仿宋_GB2312" w:hAnsi="仿宋_GB2312" w:eastAsia="仿宋_GB2312" w:cs="仿宋_GB2312"/>
                <w:color w:val="000000"/>
                <w:kern w:val="0"/>
                <w:sz w:val="22"/>
              </w:rPr>
              <w:t>根据所提供服务方案的整体质量、可行性进行打分：在要求的合作模式下，有完整的运营流程、质量控制流程；有优秀的市场拓展能力并具实现路径的可操作性；具备完善的运营管理能力；具备帮助医院提升科研学术的能力；有及时响应的应急保障措施。</w:t>
            </w:r>
            <w:r>
              <w:rPr>
                <w:rStyle w:val="13"/>
                <w:rFonts w:hint="default" w:ascii="仿宋_GB2312" w:hAnsi="仿宋_GB2312" w:eastAsia="仿宋_GB2312" w:cs="仿宋_GB2312"/>
              </w:rPr>
              <w:t>要求方案清晰、科学、完善、可行性高。合作方案内容详细，针对性、可操作性强的得7-10分；合作方案内容较好、操作性良好的得4-6分；方案简单、操作性一般的得1-3分；未提供的不得分。</w:t>
            </w:r>
          </w:p>
        </w:tc>
        <w:tc>
          <w:tcPr>
            <w:tcW w:w="1198" w:type="pc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FE3954F">
            <w:pPr>
              <w:jc w:val="center"/>
              <w:rPr>
                <w:rFonts w:ascii="仿宋" w:hAnsi="仿宋" w:eastAsia="仿宋" w:cs="仿宋"/>
                <w:color w:val="000000"/>
                <w:sz w:val="24"/>
                <w:szCs w:val="24"/>
              </w:rPr>
            </w:pPr>
          </w:p>
        </w:tc>
      </w:tr>
    </w:tbl>
    <w:p w14:paraId="060F5651">
      <w:pPr>
        <w:jc w:val="left"/>
        <w:rPr>
          <w:rFonts w:ascii="仿宋" w:hAnsi="仿宋" w:eastAsia="仿宋" w:cs="仿宋"/>
          <w:b/>
          <w:bCs/>
          <w:sz w:val="30"/>
        </w:rPr>
      </w:pPr>
    </w:p>
    <w:p w14:paraId="535A4198">
      <w:pPr>
        <w:jc w:val="left"/>
        <w:rPr>
          <w:rFonts w:hint="default" w:ascii="仿宋" w:hAnsi="仿宋" w:eastAsia="仿宋" w:cs="仿宋"/>
          <w:b/>
          <w:bCs/>
          <w:sz w:val="30"/>
          <w:highlight w:val="none"/>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F21"/>
    <w:rsid w:val="000C058B"/>
    <w:rsid w:val="001B2679"/>
    <w:rsid w:val="002B3EAF"/>
    <w:rsid w:val="002F6A2B"/>
    <w:rsid w:val="00483C08"/>
    <w:rsid w:val="0049331F"/>
    <w:rsid w:val="006C77F8"/>
    <w:rsid w:val="007B48A3"/>
    <w:rsid w:val="00812203"/>
    <w:rsid w:val="00916478"/>
    <w:rsid w:val="00976AF8"/>
    <w:rsid w:val="009A2AD6"/>
    <w:rsid w:val="00A912FE"/>
    <w:rsid w:val="00AD489F"/>
    <w:rsid w:val="00B42094"/>
    <w:rsid w:val="00BF0F21"/>
    <w:rsid w:val="00D065FD"/>
    <w:rsid w:val="00D66D3A"/>
    <w:rsid w:val="00D830EA"/>
    <w:rsid w:val="00E965B3"/>
    <w:rsid w:val="00F06263"/>
    <w:rsid w:val="012E2826"/>
    <w:rsid w:val="09A31262"/>
    <w:rsid w:val="0EB1213E"/>
    <w:rsid w:val="150955DB"/>
    <w:rsid w:val="1BA42855"/>
    <w:rsid w:val="1D7C377A"/>
    <w:rsid w:val="23C40686"/>
    <w:rsid w:val="2DD50C7C"/>
    <w:rsid w:val="2FCA618E"/>
    <w:rsid w:val="30830F0E"/>
    <w:rsid w:val="313E0C12"/>
    <w:rsid w:val="321D0A39"/>
    <w:rsid w:val="329A50BF"/>
    <w:rsid w:val="35E620DE"/>
    <w:rsid w:val="35F74778"/>
    <w:rsid w:val="36AB7E67"/>
    <w:rsid w:val="3C446745"/>
    <w:rsid w:val="3C783675"/>
    <w:rsid w:val="48EE19B0"/>
    <w:rsid w:val="4ADD76DB"/>
    <w:rsid w:val="4C7144C1"/>
    <w:rsid w:val="51397494"/>
    <w:rsid w:val="52EA3489"/>
    <w:rsid w:val="533D4D64"/>
    <w:rsid w:val="55A1036C"/>
    <w:rsid w:val="57973367"/>
    <w:rsid w:val="57F5756D"/>
    <w:rsid w:val="59234DCF"/>
    <w:rsid w:val="5C265AAC"/>
    <w:rsid w:val="615511A0"/>
    <w:rsid w:val="63C41105"/>
    <w:rsid w:val="643F739C"/>
    <w:rsid w:val="65B178B3"/>
    <w:rsid w:val="67D82BDC"/>
    <w:rsid w:val="69154C19"/>
    <w:rsid w:val="69623E1F"/>
    <w:rsid w:val="6BA44A56"/>
    <w:rsid w:val="6E625387"/>
    <w:rsid w:val="6FF03C84"/>
    <w:rsid w:val="712F5859"/>
    <w:rsid w:val="72304C8C"/>
    <w:rsid w:val="73472003"/>
    <w:rsid w:val="78593AF2"/>
    <w:rsid w:val="7B146EC2"/>
    <w:rsid w:val="7F3E1E18"/>
    <w:rsid w:val="7FE95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批注框文本 Char"/>
    <w:basedOn w:val="8"/>
    <w:link w:val="3"/>
    <w:semiHidden/>
    <w:qFormat/>
    <w:uiPriority w:val="99"/>
    <w:rPr>
      <w:sz w:val="18"/>
      <w:szCs w:val="18"/>
    </w:rPr>
  </w:style>
  <w:style w:type="character" w:customStyle="1" w:styleId="12">
    <w:name w:val="font31"/>
    <w:basedOn w:val="8"/>
    <w:qFormat/>
    <w:uiPriority w:val="0"/>
    <w:rPr>
      <w:rFonts w:hint="eastAsia" w:ascii="仿宋" w:hAnsi="仿宋" w:eastAsia="仿宋" w:cs="仿宋"/>
      <w:color w:val="FF0000"/>
      <w:sz w:val="22"/>
      <w:szCs w:val="22"/>
      <w:u w:val="none"/>
    </w:rPr>
  </w:style>
  <w:style w:type="character" w:customStyle="1" w:styleId="13">
    <w:name w:val="font61"/>
    <w:basedOn w:val="8"/>
    <w:qFormat/>
    <w:uiPriority w:val="0"/>
    <w:rPr>
      <w:rFonts w:hint="eastAsia" w:ascii="仿宋" w:hAnsi="仿宋" w:eastAsia="仿宋" w:cs="仿宋"/>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22</Pages>
  <Words>8674</Words>
  <Characters>9234</Characters>
  <Lines>42</Lines>
  <Paragraphs>11</Paragraphs>
  <TotalTime>21</TotalTime>
  <ScaleCrop>false</ScaleCrop>
  <LinksUpToDate>false</LinksUpToDate>
  <CharactersWithSpaces>9390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2018-12-11T07:51:00Z</dcterms:created>
  <dc:creator>LENOVO</dc:creator>
  <cp:lastModifiedBy>杨沁菀</cp:lastModifiedBy>
  <cp:lastPrinted>2018-12-12T06:13:00Z</cp:lastPrinted>
  <dcterms:modified xsi:type="dcterms:W3CDTF">2024-12-31T02:38:03Z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5163E48BC4FC4A37A58B75698DB79389_13</vt:lpwstr>
  </property>
  <property fmtid="{D5CDD505-2E9C-101B-9397-08002B2CF9AE}" pid="4" name="KSOTemplateDocerSaveRecord">
    <vt:lpwstr>eyJoZGlkIjoiODg2NGRhZTE4ZDQ1NWU0NTliNDQ5YTk5NzNjMzQ3MzEiLCJ1c2VySWQiOiI0NTc0NTM5ODIifQ==</vt:lpwstr>
  </property>
</Properties>
</file>