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auto"/>
          <w:sz w:val="36"/>
          <w:szCs w:val="36"/>
          <w:highlight w:val="none"/>
          <w:lang w:eastAsia="zh-CN"/>
        </w:rPr>
      </w:pPr>
      <w:r>
        <w:rPr>
          <w:rFonts w:hint="eastAsia" w:ascii="黑体" w:hAnsi="黑体" w:eastAsia="黑体" w:cs="黑体"/>
          <w:b w:val="0"/>
          <w:bCs/>
          <w:i w:val="0"/>
          <w:caps w:val="0"/>
          <w:color w:val="auto"/>
          <w:spacing w:val="0"/>
          <w:sz w:val="36"/>
          <w:szCs w:val="36"/>
          <w:highlight w:val="none"/>
          <w:shd w:val="clear" w:fill="auto"/>
          <w:lang w:val="en-US" w:eastAsia="zh-CN"/>
        </w:rPr>
        <w:t>四川省妇幼保健院</w:t>
      </w:r>
      <w:r>
        <w:rPr>
          <w:rFonts w:hint="eastAsia" w:ascii="黑体" w:hAnsi="黑体" w:eastAsia="黑体" w:cs="黑体"/>
          <w:b w:val="0"/>
          <w:bCs/>
          <w:i w:val="0"/>
          <w:caps w:val="0"/>
          <w:color w:val="auto"/>
          <w:spacing w:val="0"/>
          <w:sz w:val="36"/>
          <w:szCs w:val="36"/>
          <w:highlight w:val="none"/>
          <w:shd w:val="clear" w:fill="auto"/>
        </w:rPr>
        <w:t>天府院区纯水维护保养</w:t>
      </w:r>
      <w:r>
        <w:rPr>
          <w:rFonts w:hint="eastAsia" w:ascii="黑体" w:hAnsi="黑体" w:eastAsia="黑体" w:cs="黑体"/>
          <w:b w:val="0"/>
          <w:bCs/>
          <w:color w:val="auto"/>
          <w:sz w:val="36"/>
          <w:szCs w:val="36"/>
          <w:highlight w:val="none"/>
          <w:lang w:val="en-US" w:eastAsia="zh-CN"/>
        </w:rPr>
        <w:t>采购项目</w:t>
      </w:r>
      <w:r>
        <w:rPr>
          <w:rFonts w:hint="eastAsia" w:ascii="黑体" w:hAnsi="黑体" w:eastAsia="黑体" w:cs="黑体"/>
          <w:b w:val="0"/>
          <w:bCs/>
          <w:color w:val="auto"/>
          <w:sz w:val="36"/>
          <w:szCs w:val="36"/>
          <w:highlight w:val="none"/>
          <w:lang w:eastAsia="zh-CN"/>
        </w:rPr>
        <w:t>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宋体" w:hAnsi="宋体" w:eastAsia="宋体" w:cs="宋体"/>
          <w:bCs/>
          <w:i w:val="0"/>
          <w:iCs w:val="0"/>
          <w:caps w:val="0"/>
          <w:color w:val="auto"/>
          <w:spacing w:val="0"/>
          <w:sz w:val="24"/>
          <w:szCs w:val="24"/>
          <w:highlight w:val="none"/>
          <w:shd w:val="clear" w:color="auto" w:fill="FFFFFF"/>
          <w:lang w:val="en-US" w:eastAsia="zh-CN"/>
        </w:rPr>
      </w:pPr>
      <w:r>
        <w:rPr>
          <w:rFonts w:hint="eastAsia" w:ascii="黑体" w:hAnsi="黑体" w:eastAsia="黑体" w:cs="黑体"/>
          <w:b w:val="0"/>
          <w:bCs/>
          <w:color w:val="auto"/>
          <w:sz w:val="32"/>
          <w:szCs w:val="32"/>
          <w:highlight w:val="none"/>
        </w:rPr>
        <w:t>采购编号：SCFY-HQ202501-001（磋）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我院将召开</w:t>
      </w:r>
      <w:r>
        <w:rPr>
          <w:rFonts w:hint="eastAsia" w:asciiTheme="minorEastAsia" w:hAnsiTheme="minorEastAsia" w:eastAsiaTheme="minorEastAsia" w:cstheme="minorEastAsia"/>
          <w:i w:val="0"/>
          <w:iCs w:val="0"/>
          <w:caps w:val="0"/>
          <w:color w:val="auto"/>
          <w:spacing w:val="0"/>
          <w:kern w:val="0"/>
          <w:sz w:val="24"/>
          <w:szCs w:val="24"/>
          <w:highlight w:val="none"/>
          <w:shd w:val="clear" w:color="auto" w:fill="FFFFFF"/>
          <w:lang w:val="en-US" w:eastAsia="zh-CN" w:bidi="ar"/>
        </w:rPr>
        <w:t>“</w:t>
      </w:r>
      <w:r>
        <w:rPr>
          <w:rFonts w:hint="eastAsia" w:asciiTheme="minorEastAsia" w:hAnsiTheme="minorEastAsia" w:eastAsiaTheme="minorEastAsia" w:cstheme="minorEastAsia"/>
          <w:i w:val="0"/>
          <w:caps w:val="0"/>
          <w:color w:val="auto"/>
          <w:spacing w:val="0"/>
          <w:sz w:val="24"/>
          <w:szCs w:val="24"/>
          <w:shd w:val="clear" w:fill="FFFFFF"/>
        </w:rPr>
        <w:t>天府院区纯水维护保养</w:t>
      </w:r>
      <w:r>
        <w:rPr>
          <w:rFonts w:hint="eastAsia" w:asciiTheme="minorEastAsia" w:hAnsiTheme="minorEastAsia" w:eastAsiaTheme="minorEastAsia" w:cstheme="minorEastAsia"/>
          <w:i w:val="0"/>
          <w:iCs w:val="0"/>
          <w:caps w:val="0"/>
          <w:color w:val="auto"/>
          <w:spacing w:val="0"/>
          <w:kern w:val="0"/>
          <w:sz w:val="24"/>
          <w:szCs w:val="24"/>
          <w:highlight w:val="none"/>
          <w:shd w:val="clear" w:color="auto" w:fill="FFFFFF"/>
          <w:lang w:val="en-US" w:eastAsia="zh-CN" w:bidi="ar"/>
        </w:rPr>
        <w:t>采购项目</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t>”院内采购会议，会议由后勤保障部组织。届时，请投标人准时参加，具体事项如下：</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eastAsia" w:ascii="宋体" w:hAnsi="宋体" w:cs="宋体"/>
          <w:b/>
          <w:bCs/>
          <w:i w:val="0"/>
          <w:iCs w:val="0"/>
          <w:caps w:val="0"/>
          <w:color w:val="0000FF"/>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1.会议时间：</w:t>
      </w:r>
      <w:r>
        <w:rPr>
          <w:rFonts w:hint="eastAsia" w:ascii="宋体" w:hAnsi="宋体" w:cs="宋体"/>
          <w:b/>
          <w:bCs/>
          <w:i w:val="0"/>
          <w:iCs w:val="0"/>
          <w:caps w:val="0"/>
          <w:color w:val="auto"/>
          <w:spacing w:val="0"/>
          <w:sz w:val="24"/>
          <w:szCs w:val="24"/>
          <w:highlight w:val="none"/>
          <w:shd w:val="clear" w:color="auto" w:fill="FFFFFF"/>
          <w:lang w:eastAsia="zh-CN"/>
        </w:rPr>
        <w:t>202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cs="宋体"/>
          <w:b/>
          <w:bCs/>
          <w:i w:val="0"/>
          <w:iCs w:val="0"/>
          <w:caps w:val="0"/>
          <w:color w:val="auto"/>
          <w:spacing w:val="0"/>
          <w:sz w:val="24"/>
          <w:szCs w:val="24"/>
          <w:highlight w:val="none"/>
          <w:shd w:val="clear" w:color="auto" w:fill="FFFFFF"/>
          <w:lang w:eastAsia="zh-CN"/>
        </w:rPr>
        <w:t>年</w:t>
      </w:r>
      <w:r>
        <w:rPr>
          <w:rFonts w:hint="eastAsia" w:ascii="宋体" w:hAnsi="宋体" w:cs="宋体"/>
          <w:b/>
          <w:bCs/>
          <w:i w:val="0"/>
          <w:iCs w:val="0"/>
          <w:caps w:val="0"/>
          <w:color w:val="auto"/>
          <w:spacing w:val="0"/>
          <w:sz w:val="24"/>
          <w:szCs w:val="24"/>
          <w:highlight w:val="none"/>
          <w:shd w:val="clear" w:color="auto" w:fill="FFFFFF"/>
          <w:lang w:val="en-US" w:eastAsia="zh-CN"/>
        </w:rPr>
        <w:t>1</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21</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二</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上午9:00</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leftChars="0" w:firstLine="482" w:firstLineChars="200"/>
        <w:jc w:val="both"/>
        <w:textAlignment w:val="auto"/>
        <w:rPr>
          <w:rFonts w:hint="default"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2.会议地点：四川省妇幼保健院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w:t>
      </w:r>
      <w:r>
        <w:rPr>
          <w:rFonts w:hint="eastAsia" w:ascii="宋体" w:hAnsi="宋体" w:cs="宋体"/>
          <w:b/>
          <w:bCs/>
          <w:i w:val="0"/>
          <w:iCs w:val="0"/>
          <w:caps w:val="0"/>
          <w:color w:val="auto"/>
          <w:spacing w:val="0"/>
          <w:sz w:val="24"/>
          <w:szCs w:val="24"/>
          <w:highlight w:val="none"/>
          <w:shd w:val="clear" w:color="auto" w:fill="FFFFFF"/>
          <w:lang w:val="en-US" w:eastAsia="zh-CN"/>
        </w:rPr>
        <w:t>5楼小会议室</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及</w:t>
      </w:r>
      <w:r>
        <w:rPr>
          <w:rFonts w:hint="eastAsia" w:ascii="宋体" w:hAnsi="宋体" w:eastAsia="宋体" w:cs="宋体"/>
          <w:i w:val="0"/>
          <w:iCs w:val="0"/>
          <w:caps w:val="0"/>
          <w:color w:val="auto"/>
          <w:spacing w:val="0"/>
          <w:sz w:val="24"/>
          <w:szCs w:val="24"/>
          <w:highlight w:val="none"/>
          <w:shd w:val="clear" w:color="auto" w:fill="FFFFFF"/>
          <w:lang w:val="en-US" w:eastAsia="zh-CN"/>
        </w:rPr>
        <w:t>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cs="宋体"/>
          <w:i w:val="0"/>
          <w:iCs w:val="0"/>
          <w:caps w:val="0"/>
          <w:color w:val="auto"/>
          <w:spacing w:val="0"/>
          <w:sz w:val="24"/>
          <w:szCs w:val="24"/>
          <w:highlight w:val="none"/>
          <w:shd w:val="clear" w:color="auto" w:fill="FFFFFF"/>
          <w:lang w:val="en-US" w:eastAsia="zh-CN"/>
        </w:rPr>
        <w:t>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附2-4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附</w:t>
      </w:r>
      <w:r>
        <w:rPr>
          <w:rFonts w:hint="eastAsia" w:ascii="宋体" w:hAnsi="宋体" w:eastAsia="宋体" w:cs="宋体"/>
          <w:b/>
          <w:bCs/>
          <w:color w:val="auto"/>
          <w:sz w:val="24"/>
          <w:szCs w:val="24"/>
          <w:highlight w:val="none"/>
          <w:lang w:val="en-US" w:eastAsia="zh-CN"/>
        </w:rPr>
        <w:t>2-5）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5</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中按采购公告的规定和要求附上所有的资格证明文件，要求提供复印件的必须加盖单位印章，并在必要时提供原件备查。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rPr>
        <w:t>为本采购项目提供整体设计、规范编制或者项目管理、监理、检测等服务的，不得再参加本项目的其他招标采购活动。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”的格式填写</w:t>
      </w:r>
      <w:r>
        <w:rPr>
          <w:rFonts w:hint="eastAsia" w:ascii="宋体" w:hAnsi="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5.3报价原则：原则上所有投标品种报价不得高于四川省内其他地市中标价格或医疗机构近两年的历史采购最低价，投标人提供承诺函。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cs="宋体"/>
          <w:i w:val="0"/>
          <w:iCs w:val="0"/>
          <w:caps w:val="0"/>
          <w:color w:val="auto"/>
          <w:spacing w:val="0"/>
          <w:sz w:val="24"/>
          <w:szCs w:val="24"/>
          <w:highlight w:val="none"/>
          <w:shd w:val="clear" w:color="auto" w:fill="FFFFFF"/>
          <w:lang w:val="en-US" w:eastAsia="zh-CN"/>
        </w:rPr>
        <w:t>进行</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7.</w:t>
      </w:r>
      <w:r>
        <w:rPr>
          <w:rFonts w:hint="eastAsia" w:ascii="宋体" w:hAnsi="宋体" w:cs="宋体"/>
          <w:b/>
          <w:bCs/>
          <w:i w:val="0"/>
          <w:iCs w:val="0"/>
          <w:caps w:val="0"/>
          <w:color w:val="auto"/>
          <w:spacing w:val="0"/>
          <w:sz w:val="24"/>
          <w:szCs w:val="24"/>
          <w:highlight w:val="non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年</w:t>
      </w:r>
      <w:r>
        <w:rPr>
          <w:rFonts w:hint="eastAsia" w:ascii="宋体" w:hAnsi="宋体" w:cs="宋体"/>
          <w:b/>
          <w:bCs/>
          <w:i w:val="0"/>
          <w:iCs w:val="0"/>
          <w:caps w:val="0"/>
          <w:color w:val="auto"/>
          <w:spacing w:val="0"/>
          <w:sz w:val="24"/>
          <w:szCs w:val="24"/>
          <w:highlight w:val="none"/>
          <w:shd w:val="clear" w:color="auto" w:fill="FFFFFF"/>
          <w:lang w:val="en-US" w:eastAsia="zh-CN"/>
        </w:rPr>
        <w:t>1</w:t>
      </w:r>
      <w:r>
        <w:rPr>
          <w:rFonts w:hint="eastAsia" w:ascii="宋体" w:hAnsi="宋体" w:eastAsia="宋体" w:cs="宋体"/>
          <w:b/>
          <w:bCs/>
          <w:i w:val="0"/>
          <w:iCs w:val="0"/>
          <w:caps w:val="0"/>
          <w:color w:val="auto"/>
          <w:spacing w:val="0"/>
          <w:sz w:val="24"/>
          <w:szCs w:val="24"/>
          <w:highlight w:val="none"/>
          <w:shd w:val="clear" w:color="auto" w:fill="FFFFFF"/>
          <w:lang w:val="en-US"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17</w:t>
      </w:r>
      <w:r>
        <w:rPr>
          <w:rFonts w:hint="eastAsia" w:ascii="宋体" w:hAnsi="宋体" w:eastAsia="宋体" w:cs="宋体"/>
          <w:b/>
          <w:bCs/>
          <w:i w:val="0"/>
          <w:iCs w:val="0"/>
          <w:caps w:val="0"/>
          <w:color w:val="auto"/>
          <w:spacing w:val="0"/>
          <w:sz w:val="24"/>
          <w:szCs w:val="24"/>
          <w:highlight w:val="none"/>
          <w:shd w:val="clear" w:color="auto" w:fill="FFFFFF"/>
          <w:lang w:val="en-US" w:eastAsia="zh-CN"/>
        </w:rPr>
        <w:t>日</w:t>
      </w:r>
      <w:r>
        <w:rPr>
          <w:rFonts w:hint="eastAsia" w:ascii="宋体" w:hAnsi="宋体" w:cs="宋体"/>
          <w:b/>
          <w:bCs/>
          <w:i w:val="0"/>
          <w:iCs w:val="0"/>
          <w:caps w:val="0"/>
          <w:color w:val="auto"/>
          <w:spacing w:val="0"/>
          <w:sz w:val="24"/>
          <w:szCs w:val="24"/>
          <w:highlight w:val="none"/>
          <w:shd w:val="clear" w:color="auto" w:fill="FFFFFF"/>
          <w:lang w:val="en-US" w:eastAsia="zh-CN"/>
        </w:rPr>
        <w:t>（星期五）中午</w:t>
      </w:r>
      <w:r>
        <w:rPr>
          <w:rFonts w:hint="eastAsia" w:ascii="宋体" w:hAnsi="宋体" w:eastAsia="宋体" w:cs="宋体"/>
          <w:b/>
          <w:bCs/>
          <w:i w:val="0"/>
          <w:iCs w:val="0"/>
          <w:caps w:val="0"/>
          <w:color w:val="auto"/>
          <w:spacing w:val="0"/>
          <w:sz w:val="24"/>
          <w:szCs w:val="24"/>
          <w:highlight w:val="none"/>
          <w:shd w:val="clear" w:color="auto" w:fill="FFFFFF"/>
          <w:lang w:val="en-US" w:eastAsia="zh-CN"/>
        </w:rPr>
        <w:t>12：00前</w:t>
      </w:r>
      <w:r>
        <w:rPr>
          <w:rFonts w:hint="eastAsia" w:ascii="宋体" w:hAnsi="宋体" w:cs="宋体"/>
          <w:b/>
          <w:bCs/>
          <w:i w:val="0"/>
          <w:iCs w:val="0"/>
          <w:caps w:val="0"/>
          <w:color w:val="auto"/>
          <w:spacing w:val="0"/>
          <w:sz w:val="24"/>
          <w:szCs w:val="24"/>
          <w:highlight w:val="none"/>
          <w:shd w:val="clear" w:color="auto" w:fill="FFFFFF"/>
          <w:lang w:val="en-US" w:eastAsia="zh-CN"/>
        </w:rPr>
        <w:t>，将</w:t>
      </w:r>
      <w:r>
        <w:rPr>
          <w:rFonts w:hint="eastAsia" w:ascii="宋体" w:hAnsi="宋体" w:eastAsia="宋体" w:cs="宋体"/>
          <w:b/>
          <w:bCs/>
          <w:i w:val="0"/>
          <w:iCs w:val="0"/>
          <w:caps w:val="0"/>
          <w:color w:val="auto"/>
          <w:spacing w:val="0"/>
          <w:sz w:val="24"/>
          <w:szCs w:val="24"/>
          <w:highlight w:val="none"/>
          <w:shd w:val="clear" w:color="auto" w:fill="FFFFFF"/>
          <w:lang w:val="en-US" w:eastAsia="zh-CN"/>
        </w:rPr>
        <w:t>提供</w:t>
      </w:r>
      <w:r>
        <w:rPr>
          <w:rFonts w:hint="eastAsia" w:ascii="宋体" w:hAnsi="宋体" w:cs="宋体"/>
          <w:b/>
          <w:bCs/>
          <w:i w:val="0"/>
          <w:iCs w:val="0"/>
          <w:caps w:val="0"/>
          <w:color w:val="auto"/>
          <w:spacing w:val="0"/>
          <w:sz w:val="24"/>
          <w:szCs w:val="24"/>
          <w:highlight w:val="none"/>
          <w:shd w:val="clear" w:color="auto" w:fill="FFFFFF"/>
          <w:lang w:val="en-US" w:eastAsia="zh-CN"/>
        </w:rPr>
        <w:t>的</w:t>
      </w:r>
      <w:r>
        <w:rPr>
          <w:rFonts w:hint="eastAsia" w:ascii="宋体" w:hAnsi="宋体" w:eastAsia="宋体" w:cs="宋体"/>
          <w:b/>
          <w:bCs/>
          <w:i w:val="0"/>
          <w:iCs w:val="0"/>
          <w:caps w:val="0"/>
          <w:color w:val="auto"/>
          <w:spacing w:val="0"/>
          <w:sz w:val="24"/>
          <w:szCs w:val="24"/>
          <w:highlight w:val="none"/>
          <w:shd w:val="clear" w:color="auto" w:fill="FFFFFF"/>
          <w:lang w:val="en-US" w:eastAsia="zh-CN"/>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资格证明文件，发送到</w:t>
      </w:r>
      <w:r>
        <w:rPr>
          <w:rFonts w:hint="eastAsia" w:ascii="宋体" w:hAnsi="宋体" w:cs="宋体"/>
          <w:b/>
          <w:bCs/>
          <w:i w:val="0"/>
          <w:iCs w:val="0"/>
          <w:caps w:val="0"/>
          <w:color w:val="auto"/>
          <w:spacing w:val="0"/>
          <w:sz w:val="24"/>
          <w:szCs w:val="24"/>
          <w:highlight w:val="none"/>
          <w:shd w:val="clear" w:color="auto" w:fill="FFFFFF"/>
          <w:lang w:val="en-US" w:eastAsia="zh-CN"/>
        </w:rPr>
        <w:t>492044496</w:t>
      </w:r>
      <w:r>
        <w:rPr>
          <w:rFonts w:hint="eastAsia" w:ascii="宋体" w:hAnsi="宋体" w:eastAsia="宋体" w:cs="宋体"/>
          <w:b/>
          <w:bCs/>
          <w:i w:val="0"/>
          <w:iCs w:val="0"/>
          <w:caps w:val="0"/>
          <w:color w:val="auto"/>
          <w:spacing w:val="0"/>
          <w:sz w:val="24"/>
          <w:szCs w:val="24"/>
          <w:highlight w:val="none"/>
          <w:shd w:val="clear" w:color="auto" w:fill="FFFFFF"/>
          <w:lang w:val="en-US" w:eastAsia="zh-CN"/>
        </w:rPr>
        <w:t>@qq.com邮箱进行资格前审查。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b/>
          <w:bCs/>
          <w:i w:val="0"/>
          <w:iCs w:val="0"/>
          <w:caps w:val="0"/>
          <w:color w:val="auto"/>
          <w:spacing w:val="0"/>
          <w:sz w:val="24"/>
          <w:szCs w:val="24"/>
          <w:highlight w:val="none"/>
          <w:shd w:val="clear" w:color="auto" w:fill="FFFFFF"/>
          <w:lang w:eastAsia="zh-CN"/>
        </w:rPr>
        <w:t>202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cs="宋体"/>
          <w:b/>
          <w:bCs/>
          <w:i w:val="0"/>
          <w:iCs w:val="0"/>
          <w:caps w:val="0"/>
          <w:color w:val="auto"/>
          <w:spacing w:val="0"/>
          <w:sz w:val="24"/>
          <w:szCs w:val="24"/>
          <w:highlight w:val="none"/>
          <w:shd w:val="clear" w:color="auto" w:fill="FFFFFF"/>
          <w:lang w:eastAsia="zh-CN"/>
        </w:rPr>
        <w:t>年</w:t>
      </w:r>
      <w:r>
        <w:rPr>
          <w:rFonts w:hint="eastAsia" w:ascii="宋体" w:hAnsi="宋体" w:cs="宋体"/>
          <w:b/>
          <w:bCs/>
          <w:i w:val="0"/>
          <w:iCs w:val="0"/>
          <w:caps w:val="0"/>
          <w:color w:val="auto"/>
          <w:spacing w:val="0"/>
          <w:sz w:val="24"/>
          <w:szCs w:val="24"/>
          <w:highlight w:val="none"/>
          <w:shd w:val="clear" w:color="auto" w:fill="FFFFFF"/>
          <w:lang w:val="en-US" w:eastAsia="zh-CN"/>
        </w:rPr>
        <w:t>1</w:t>
      </w:r>
      <w:r>
        <w:rPr>
          <w:rFonts w:hint="eastAsia" w:ascii="宋体" w:hAnsi="宋体" w:cs="宋体"/>
          <w:b/>
          <w:bCs/>
          <w:i w:val="0"/>
          <w:iCs w:val="0"/>
          <w:caps w:val="0"/>
          <w:color w:val="auto"/>
          <w:spacing w:val="0"/>
          <w:sz w:val="24"/>
          <w:szCs w:val="24"/>
          <w:highlight w:val="none"/>
          <w:shd w:val="clear" w:color="auto" w:fill="FFFFFF"/>
          <w:lang w:eastAsia="zh-CN"/>
        </w:rPr>
        <w:t>月</w:t>
      </w:r>
      <w:r>
        <w:rPr>
          <w:rFonts w:hint="eastAsia" w:ascii="宋体" w:hAnsi="宋体" w:cs="宋体"/>
          <w:b/>
          <w:bCs/>
          <w:i w:val="0"/>
          <w:iCs w:val="0"/>
          <w:caps w:val="0"/>
          <w:color w:val="auto"/>
          <w:spacing w:val="0"/>
          <w:sz w:val="24"/>
          <w:szCs w:val="24"/>
          <w:highlight w:val="none"/>
          <w:shd w:val="clear" w:color="auto" w:fill="FFFFFF"/>
          <w:lang w:val="en-US" w:eastAsia="zh-CN"/>
        </w:rPr>
        <w:t>21</w:t>
      </w:r>
      <w:r>
        <w:rPr>
          <w:rFonts w:hint="eastAsia" w:ascii="宋体" w:hAnsi="宋体" w:cs="宋体"/>
          <w:b/>
          <w:bCs/>
          <w:i w:val="0"/>
          <w:iCs w:val="0"/>
          <w:caps w:val="0"/>
          <w:color w:val="auto"/>
          <w:spacing w:val="0"/>
          <w:sz w:val="24"/>
          <w:szCs w:val="24"/>
          <w:highlight w:val="none"/>
          <w:shd w:val="clear" w:color="auto" w:fill="FFFFFF"/>
          <w:lang w:eastAsia="zh-CN"/>
        </w:rPr>
        <w:t>日（星期</w:t>
      </w:r>
      <w:r>
        <w:rPr>
          <w:rFonts w:hint="eastAsia" w:ascii="宋体" w:hAnsi="宋体" w:cs="宋体"/>
          <w:b/>
          <w:bCs/>
          <w:i w:val="0"/>
          <w:iCs w:val="0"/>
          <w:caps w:val="0"/>
          <w:color w:val="auto"/>
          <w:spacing w:val="0"/>
          <w:sz w:val="24"/>
          <w:szCs w:val="24"/>
          <w:highlight w:val="none"/>
          <w:shd w:val="clear" w:color="auto" w:fill="FFFFFF"/>
          <w:lang w:val="en-US" w:eastAsia="zh-CN"/>
        </w:rPr>
        <w:t>二</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资质</w:t>
      </w:r>
      <w:r>
        <w:rPr>
          <w:rFonts w:hint="eastAsia" w:ascii="宋体" w:hAnsi="宋体" w:eastAsia="宋体" w:cs="宋体"/>
          <w:i w:val="0"/>
          <w:iCs w:val="0"/>
          <w:caps w:val="0"/>
          <w:color w:val="auto"/>
          <w:spacing w:val="0"/>
          <w:sz w:val="24"/>
          <w:szCs w:val="24"/>
          <w:highlight w:val="none"/>
          <w:shd w:val="clear" w:color="auto" w:fill="FFFFFF"/>
          <w:lang w:val="en-US" w:eastAsia="zh-CN"/>
        </w:rPr>
        <w:t>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cs="宋体"/>
          <w:i w:val="0"/>
          <w:iCs w:val="0"/>
          <w:caps w:val="0"/>
          <w:color w:val="auto"/>
          <w:spacing w:val="0"/>
          <w:sz w:val="24"/>
          <w:szCs w:val="24"/>
          <w:highlight w:val="none"/>
          <w:shd w:val="clear" w:color="auto" w:fill="FFFFFF"/>
          <w:lang w:val="en-US" w:eastAsia="zh-CN"/>
        </w:rPr>
        <w:t>投标文件</w:t>
      </w:r>
      <w:r>
        <w:rPr>
          <w:rFonts w:hint="eastAsia" w:ascii="宋体" w:hAnsi="宋体" w:eastAsia="宋体" w:cs="宋体"/>
          <w:i w:val="0"/>
          <w:iCs w:val="0"/>
          <w:caps w:val="0"/>
          <w:color w:val="auto"/>
          <w:spacing w:val="0"/>
          <w:sz w:val="24"/>
          <w:szCs w:val="24"/>
          <w:highlight w:val="none"/>
          <w:shd w:val="clear" w:color="auto" w:fill="FFFFFF"/>
        </w:rPr>
        <w:t>》（一式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w:t>
      </w:r>
      <w:r>
        <w:rPr>
          <w:rFonts w:hint="eastAsia" w:ascii="宋体" w:hAnsi="宋体" w:cs="宋体"/>
          <w:i w:val="0"/>
          <w:iCs w:val="0"/>
          <w:caps w:val="0"/>
          <w:color w:val="auto"/>
          <w:spacing w:val="0"/>
          <w:sz w:val="24"/>
          <w:szCs w:val="24"/>
          <w:highlight w:val="none"/>
          <w:shd w:val="clear" w:color="auto" w:fill="FFFFFF"/>
          <w:lang w:val="en-US" w:eastAsia="zh-CN"/>
        </w:rPr>
        <w:t>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cs="宋体"/>
          <w:i w:val="0"/>
          <w:iCs w:val="0"/>
          <w:caps w:val="0"/>
          <w:color w:val="auto"/>
          <w:spacing w:val="0"/>
          <w:sz w:val="24"/>
          <w:szCs w:val="24"/>
          <w:highlight w:val="none"/>
          <w:shd w:val="clear" w:color="auto" w:fill="FFFFFF"/>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陈</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60671077。</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cs="宋体"/>
          <w:i w:val="0"/>
          <w:iCs w:val="0"/>
          <w:caps w:val="0"/>
          <w:color w:val="auto"/>
          <w:spacing w:val="0"/>
          <w:sz w:val="24"/>
          <w:szCs w:val="24"/>
          <w:highlight w:val="none"/>
          <w:shd w:val="clear" w:color="auto" w:fill="FFFFFF"/>
          <w:lang w:val="en-US" w:eastAsia="zh-CN"/>
        </w:rPr>
        <w:t>朱</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w:t>
      </w:r>
      <w:r>
        <w:rPr>
          <w:rFonts w:hint="eastAsia" w:ascii="宋体" w:hAnsi="宋体" w:cs="宋体"/>
          <w:i w:val="0"/>
          <w:iCs w:val="0"/>
          <w:caps w:val="0"/>
          <w:color w:val="auto"/>
          <w:spacing w:val="0"/>
          <w:sz w:val="24"/>
          <w:szCs w:val="24"/>
          <w:highlight w:val="none"/>
          <w:shd w:val="clear" w:color="auto" w:fill="FFFFFF"/>
          <w:lang w:val="en-US" w:eastAsia="zh-CN"/>
        </w:rPr>
        <w:t>5附件表格可自拟表述清楚即可</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4：反商业贿赂承诺书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pStyle w:val="5"/>
        <w:rPr>
          <w:rFonts w:hint="eastAsia"/>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一、项目概况</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i w:val="0"/>
          <w:caps w:val="0"/>
          <w:color w:val="555555"/>
          <w:spacing w:val="0"/>
          <w:sz w:val="24"/>
          <w:szCs w:val="24"/>
          <w:shd w:val="clear" w:fill="FFFFFF"/>
        </w:rPr>
        <w:t>天府院区纯水维护保养</w:t>
      </w:r>
      <w:r>
        <w:rPr>
          <w:rFonts w:hint="eastAsia" w:asciiTheme="minorEastAsia" w:hAnsiTheme="minorEastAsia" w:eastAsiaTheme="minorEastAsia" w:cstheme="minorEastAsia"/>
          <w:color w:val="auto"/>
          <w:sz w:val="24"/>
          <w:szCs w:val="24"/>
          <w:lang w:val="en-US" w:eastAsia="zh-CN"/>
        </w:rPr>
        <w:t>采购项目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项目位置：</w:t>
      </w:r>
      <w:r>
        <w:rPr>
          <w:rFonts w:hint="eastAsia" w:asciiTheme="minorEastAsia" w:hAnsiTheme="minorEastAsia" w:eastAsiaTheme="minorEastAsia" w:cstheme="minorEastAsia"/>
          <w:color w:val="auto"/>
          <w:sz w:val="24"/>
          <w:szCs w:val="24"/>
          <w:lang w:val="en-US" w:eastAsia="zh-CN"/>
        </w:rPr>
        <w:t>四川省妇幼保健院天府院区（</w:t>
      </w:r>
      <w:r>
        <w:rPr>
          <w:rFonts w:hint="eastAsia" w:asciiTheme="minorEastAsia" w:hAnsiTheme="minorEastAsia" w:eastAsiaTheme="minorEastAsia" w:cstheme="minorEastAsia"/>
          <w:color w:val="auto"/>
          <w:sz w:val="24"/>
          <w:szCs w:val="24"/>
        </w:rPr>
        <w:t>成都市双流区岐黄二路1515号</w:t>
      </w:r>
      <w:r>
        <w:rPr>
          <w:rFonts w:hint="eastAsia" w:asciiTheme="minorEastAsia" w:hAnsiTheme="minorEastAsia" w:eastAsiaTheme="minorEastAsia" w:cstheme="minorEastAsia"/>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3、纯水系统现状情况：</w:t>
      </w:r>
      <w:r>
        <w:rPr>
          <w:rFonts w:hint="eastAsia" w:asciiTheme="minorEastAsia" w:hAnsiTheme="minorEastAsia" w:eastAsiaTheme="minorEastAsia" w:cstheme="minorEastAsia"/>
          <w:color w:val="000000"/>
          <w:sz w:val="24"/>
          <w:szCs w:val="24"/>
        </w:rPr>
        <w:t>四川省妇幼保健院天府院区现有一套医用水集中供水系统</w:t>
      </w:r>
      <w:r>
        <w:rPr>
          <w:rFonts w:hint="eastAsia" w:asciiTheme="minorEastAsia" w:hAnsiTheme="minorEastAsia" w:eastAsiaTheme="minorEastAsia" w:cstheme="minorEastAsia"/>
          <w:sz w:val="24"/>
          <w:szCs w:val="24"/>
        </w:rPr>
        <w:t>，设备已投运约700天，系统纯水制水量为1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m³/h,采用双套运行，系统工艺为预处理+RO系统+后处理系统设计。以院内市政自来水为原水，经中央净化水处理系统设备处理，产出符合各</w:t>
      </w:r>
      <w:r>
        <w:rPr>
          <w:rFonts w:hint="eastAsia" w:asciiTheme="minorEastAsia" w:hAnsiTheme="minorEastAsia" w:eastAsiaTheme="minorEastAsia" w:cstheme="minorEastAsia"/>
          <w:sz w:val="24"/>
          <w:szCs w:val="24"/>
          <w:lang w:val="en-US" w:eastAsia="zh-CN"/>
        </w:rPr>
        <w:t>科室</w:t>
      </w:r>
      <w:r>
        <w:rPr>
          <w:rFonts w:hint="eastAsia" w:asciiTheme="minorEastAsia" w:hAnsiTheme="minorEastAsia" w:eastAsiaTheme="minorEastAsia" w:cstheme="minorEastAsia"/>
          <w:sz w:val="24"/>
          <w:szCs w:val="24"/>
        </w:rPr>
        <w:t>要求的医用水；主要包括: ①生化检验用检验用水、②供应中心</w:t>
      </w:r>
      <w:r>
        <w:rPr>
          <w:rFonts w:hint="eastAsia" w:asciiTheme="minorEastAsia" w:hAnsiTheme="minorEastAsia" w:eastAsiaTheme="minorEastAsia" w:cstheme="minorEastAsia"/>
          <w:sz w:val="24"/>
          <w:szCs w:val="24"/>
          <w:lang w:val="en-US" w:eastAsia="zh-CN"/>
        </w:rPr>
        <w:t>内镜中心</w:t>
      </w:r>
      <w:r>
        <w:rPr>
          <w:rFonts w:hint="eastAsia" w:asciiTheme="minorEastAsia" w:hAnsiTheme="minorEastAsia" w:eastAsiaTheme="minorEastAsia" w:cstheme="minorEastAsia"/>
          <w:sz w:val="24"/>
          <w:szCs w:val="24"/>
        </w:rPr>
        <w:t>用二级清洗用水、③</w:t>
      </w:r>
      <w:r>
        <w:rPr>
          <w:rFonts w:hint="eastAsia" w:asciiTheme="minorEastAsia" w:hAnsiTheme="minorEastAsia" w:eastAsiaTheme="minorEastAsia" w:cstheme="minorEastAsia"/>
          <w:sz w:val="24"/>
          <w:szCs w:val="24"/>
          <w:lang w:val="en-US" w:eastAsia="zh-CN"/>
        </w:rPr>
        <w:t>水中分娩药浴</w:t>
      </w:r>
      <w:r>
        <w:rPr>
          <w:rFonts w:hint="eastAsia" w:asciiTheme="minorEastAsia" w:hAnsiTheme="minorEastAsia" w:eastAsiaTheme="minorEastAsia" w:cstheme="minorEastAsia"/>
          <w:sz w:val="24"/>
          <w:szCs w:val="24"/>
        </w:rPr>
        <w:t>用清洗用水</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现设备耗材及零配件急需更换维护</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rPr>
        <w:t>二、项目内容和要求</w:t>
      </w:r>
    </w:p>
    <w:p>
      <w:pPr>
        <w:spacing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（一）服务单位</w:t>
      </w:r>
      <w:r>
        <w:rPr>
          <w:rFonts w:hint="eastAsia" w:asciiTheme="minorEastAsia" w:hAnsiTheme="minorEastAsia" w:eastAsiaTheme="minorEastAsia" w:cstheme="minorEastAsia"/>
          <w:b w:val="0"/>
          <w:bCs w:val="0"/>
          <w:color w:val="auto"/>
          <w:sz w:val="24"/>
          <w:szCs w:val="24"/>
        </w:rPr>
        <w:t>需</w:t>
      </w:r>
      <w:r>
        <w:rPr>
          <w:rFonts w:hint="eastAsia" w:asciiTheme="minorEastAsia" w:hAnsiTheme="minorEastAsia" w:eastAsiaTheme="minorEastAsia" w:cstheme="minorEastAsia"/>
          <w:b w:val="0"/>
          <w:bCs w:val="0"/>
          <w:color w:val="auto"/>
          <w:sz w:val="24"/>
          <w:szCs w:val="24"/>
          <w:lang w:val="en-US" w:eastAsia="zh-CN"/>
        </w:rPr>
        <w:t>对天府院区纯水系统提供:</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1、日常运维管理、保养、故障维修服务，并</w:t>
      </w:r>
      <w:r>
        <w:rPr>
          <w:rFonts w:hint="eastAsia" w:asciiTheme="minorEastAsia" w:hAnsiTheme="minorEastAsia" w:eastAsiaTheme="minorEastAsia" w:cstheme="minorEastAsia"/>
          <w:b w:val="0"/>
          <w:bCs w:val="0"/>
          <w:color w:val="auto"/>
          <w:sz w:val="24"/>
          <w:szCs w:val="24"/>
        </w:rPr>
        <w:t>定期</w:t>
      </w:r>
      <w:r>
        <w:rPr>
          <w:rFonts w:hint="eastAsia" w:asciiTheme="minorEastAsia" w:hAnsiTheme="minorEastAsia" w:eastAsiaTheme="minorEastAsia" w:cstheme="minorEastAsia"/>
          <w:b w:val="0"/>
          <w:bCs w:val="0"/>
          <w:color w:val="auto"/>
          <w:sz w:val="24"/>
          <w:szCs w:val="24"/>
          <w:lang w:val="en-US" w:eastAsia="zh-CN"/>
        </w:rPr>
        <w:t>对软水系统，软水盐进行加注，</w:t>
      </w:r>
      <w:r>
        <w:rPr>
          <w:rFonts w:hint="eastAsia" w:asciiTheme="minorEastAsia" w:hAnsiTheme="minorEastAsia" w:eastAsiaTheme="minorEastAsia" w:cstheme="minorEastAsia"/>
          <w:color w:val="auto"/>
          <w:sz w:val="24"/>
          <w:szCs w:val="24"/>
          <w:lang w:val="en-US" w:eastAsia="zh-CN"/>
        </w:rPr>
        <w:t>HP调节装置药剂进行加注，管道及罐体清洗消毒，并按照设备实际使用情况对其</w:t>
      </w:r>
      <w:r>
        <w:rPr>
          <w:rFonts w:hint="eastAsia" w:asciiTheme="minorEastAsia" w:hAnsiTheme="minorEastAsia" w:eastAsiaTheme="minorEastAsia" w:cstheme="minorEastAsia"/>
          <w:color w:val="auto"/>
          <w:sz w:val="24"/>
          <w:szCs w:val="24"/>
        </w:rPr>
        <w:t>耗材</w:t>
      </w:r>
      <w:r>
        <w:rPr>
          <w:rFonts w:hint="eastAsia" w:asciiTheme="minorEastAsia" w:hAnsiTheme="minorEastAsia" w:eastAsiaTheme="minorEastAsia" w:cstheme="minorEastAsia"/>
          <w:color w:val="auto"/>
          <w:sz w:val="24"/>
          <w:szCs w:val="24"/>
          <w:lang w:val="en-US" w:eastAsia="zh-CN"/>
        </w:rPr>
        <w:t>进行更换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石英沙、无烟煤、活性炭、软化树脂、PP熔喷滤芯、反渗透膜、折叠滤芯、EDI模块、紫外线灯管等；并定期出具日常巡查记录、运行记录、加盐记录、维修保养记录、前段和使用末端水质检测及检测情况等。以保障检验科、产房、消毒供应中心、层流病房纯水等科室纯水使用需求。</w:t>
      </w:r>
    </w:p>
    <w:p>
      <w:pPr>
        <w:pStyle w:val="2"/>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4"/>
          <w:szCs w:val="24"/>
          <w:lang w:val="en-US" w:eastAsia="zh-CN"/>
        </w:rPr>
        <w:t xml:space="preserve">    2、在所用纯水科室用水前端加装在线检测设备，实时监测水质情况，保障各科室用水达到各科室用水相关规范标准。</w:t>
      </w:r>
    </w:p>
    <w:p>
      <w:pPr>
        <w:spacing w:line="360" w:lineRule="auto"/>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（二）工程范围及简要说明</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主要包括设备机房内的水质处理设备、终端用水设备及供水管道，维保工作为整套医用集中供水系统维修维护、配件更换，定期进行管网消毒清洗、定期更换耗材（见附件）。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三</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维保方式：</w:t>
      </w:r>
      <w:r>
        <w:rPr>
          <w:rFonts w:hint="eastAsia" w:asciiTheme="minorEastAsia" w:hAnsiTheme="minorEastAsia" w:eastAsiaTheme="minorEastAsia" w:cstheme="minorEastAsia"/>
          <w:sz w:val="24"/>
          <w:szCs w:val="24"/>
        </w:rPr>
        <w:t>全维保（设备维修更换及耗材提供）。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维保内容及范围：医用集中供水系统设备机房内的整个纯水制备工艺设施、设备管路、机房外输送管道及用水终端。维保工作为整套医用集中供水系统维护保养，零部件、耗材、药剂的更换，每</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rPr>
        <w:t>进行巡查巡检，现场负责人确认签字。保证医用集中供水系统正常运行，水质符合国家标准。</w:t>
      </w:r>
    </w:p>
    <w:p>
      <w:pPr>
        <w:pStyle w:val="2"/>
        <w:spacing w:line="360" w:lineRule="auto"/>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rPr>
        <w:t>维护方式及响应时间：根据医用集中供水系统的实际情况，投标人每</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rPr>
        <w:t>安排工程技术人员进行巡检服务</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维保期间每天</w:t>
      </w:r>
      <w:r>
        <w:rPr>
          <w:rFonts w:hint="eastAsia" w:asciiTheme="minorEastAsia" w:hAnsiTheme="minorEastAsia" w:eastAsiaTheme="minorEastAsia" w:cstheme="minorEastAsia"/>
          <w:sz w:val="24"/>
          <w:szCs w:val="24"/>
        </w:rPr>
        <w:t>24小时保修电话服务，随时解决院方提出的故障申告。投标人在接到甲方的故障申告电话后，应在4小时内达到现场进行处理。</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黑体" w:hAnsi="黑体" w:eastAsia="黑体" w:cs="黑体"/>
          <w:b w:val="0"/>
          <w:bCs w:val="0"/>
          <w:i w:val="0"/>
          <w:caps w:val="0"/>
          <w:color w:val="auto"/>
          <w:spacing w:val="0"/>
          <w:w w:val="100"/>
          <w:sz w:val="24"/>
          <w:szCs w:val="24"/>
          <w:highlight w:val="none"/>
          <w:lang w:val="en-US" w:eastAsia="zh-CN"/>
        </w:rPr>
      </w:pPr>
      <w:r>
        <w:rPr>
          <w:rFonts w:hint="eastAsia" w:ascii="黑体" w:hAnsi="黑体" w:eastAsia="黑体" w:cs="黑体"/>
          <w:b w:val="0"/>
          <w:bCs w:val="0"/>
          <w:i w:val="0"/>
          <w:caps w:val="0"/>
          <w:color w:val="auto"/>
          <w:spacing w:val="0"/>
          <w:w w:val="100"/>
          <w:sz w:val="24"/>
          <w:szCs w:val="24"/>
          <w:highlight w:val="none"/>
          <w:lang w:val="en-US" w:eastAsia="zh-CN"/>
        </w:rPr>
        <w:t xml:space="preserve">三、本项目最高限价：350000元/年，服务期限一年。 </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黑体" w:hAnsi="黑体" w:eastAsia="黑体" w:cs="黑体"/>
          <w:b w:val="0"/>
          <w:bCs w:val="0"/>
          <w:i w:val="0"/>
          <w:caps w:val="0"/>
          <w:color w:val="auto"/>
          <w:spacing w:val="0"/>
          <w:w w:val="100"/>
          <w:sz w:val="24"/>
          <w:szCs w:val="24"/>
          <w:highlight w:val="none"/>
        </w:rPr>
      </w:pPr>
      <w:r>
        <w:rPr>
          <w:rFonts w:hint="eastAsia" w:ascii="黑体" w:hAnsi="黑体" w:eastAsia="黑体" w:cs="黑体"/>
          <w:b w:val="0"/>
          <w:bCs w:val="0"/>
          <w:i w:val="0"/>
          <w:caps w:val="0"/>
          <w:color w:val="auto"/>
          <w:spacing w:val="0"/>
          <w:w w:val="100"/>
          <w:sz w:val="24"/>
          <w:szCs w:val="24"/>
          <w:highlight w:val="none"/>
          <w:lang w:val="en-US" w:eastAsia="zh-CN"/>
        </w:rPr>
        <w:t>四</w:t>
      </w:r>
      <w:r>
        <w:rPr>
          <w:rFonts w:hint="eastAsia" w:ascii="黑体" w:hAnsi="黑体" w:eastAsia="黑体" w:cs="黑体"/>
          <w:b w:val="0"/>
          <w:bCs w:val="0"/>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rPr>
      </w:pPr>
      <w:r>
        <w:rPr>
          <w:rFonts w:hint="eastAsia" w:asciiTheme="minorEastAsia" w:hAnsiTheme="minorEastAsia" w:eastAsiaTheme="minorEastAsia" w:cstheme="minorEastAsia"/>
          <w:b w:val="0"/>
          <w:i w:val="0"/>
          <w:caps w:val="0"/>
          <w:color w:val="auto"/>
          <w:spacing w:val="0"/>
          <w:w w:val="100"/>
          <w:sz w:val="24"/>
          <w:szCs w:val="24"/>
          <w:highlight w:val="none"/>
        </w:rPr>
        <w:t>上班时间为</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工作日8</w:t>
      </w:r>
      <w:r>
        <w:rPr>
          <w:rFonts w:hint="eastAsia" w:asciiTheme="minorEastAsia" w:hAnsiTheme="minorEastAsia" w:eastAsiaTheme="minorEastAsia" w:cstheme="minorEastAsia"/>
          <w:b w:val="0"/>
          <w:i w:val="0"/>
          <w:caps w:val="0"/>
          <w:color w:val="auto"/>
          <w:spacing w:val="0"/>
          <w:w w:val="100"/>
          <w:sz w:val="24"/>
          <w:szCs w:val="24"/>
          <w:highlight w:val="none"/>
        </w:rPr>
        <w:t>：00—12：00（上午），</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13</w:t>
      </w:r>
      <w:r>
        <w:rPr>
          <w:rFonts w:hint="eastAsia" w:asciiTheme="minorEastAsia" w:hAnsiTheme="minorEastAsia" w:eastAsiaTheme="minorEastAsia" w:cstheme="minorEastAsia"/>
          <w:b w:val="0"/>
          <w:i w:val="0"/>
          <w:caps w:val="0"/>
          <w:color w:val="auto"/>
          <w:spacing w:val="0"/>
          <w:w w:val="100"/>
          <w:sz w:val="24"/>
          <w:szCs w:val="24"/>
          <w:highlight w:val="none"/>
        </w:rPr>
        <w:t>：00—17：</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0</w:t>
      </w:r>
      <w:r>
        <w:rPr>
          <w:rFonts w:hint="eastAsia" w:asciiTheme="minorEastAsia" w:hAnsiTheme="minorEastAsia" w:eastAsiaTheme="minorEastAsia" w:cstheme="minorEastAsia"/>
          <w:b w:val="0"/>
          <w:i w:val="0"/>
          <w:caps w:val="0"/>
          <w:color w:val="auto"/>
          <w:spacing w:val="0"/>
          <w:w w:val="100"/>
          <w:sz w:val="24"/>
          <w:szCs w:val="24"/>
          <w:highlight w:val="none"/>
        </w:rPr>
        <w:t>0（下午）</w:t>
      </w:r>
    </w:p>
    <w:p>
      <w:pPr>
        <w:keepNext w:val="0"/>
        <w:keepLines w:val="0"/>
        <w:pageBreakBefore w:val="0"/>
        <w:kinsoku/>
        <w:wordWrap/>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b w:val="0"/>
          <w:i w:val="0"/>
          <w:caps w:val="0"/>
          <w:color w:val="auto"/>
          <w:spacing w:val="0"/>
          <w:w w:val="100"/>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sz w:val="24"/>
          <w:szCs w:val="24"/>
          <w:highlight w:val="none"/>
        </w:rPr>
        <w:t>联系电话</w:t>
      </w:r>
      <w:r>
        <w:rPr>
          <w:rFonts w:hint="eastAsia" w:asciiTheme="minorEastAsia" w:hAnsiTheme="minorEastAsia" w:eastAsiaTheme="minorEastAsia" w:cstheme="minorEastAsia"/>
          <w:b w:val="0"/>
          <w:i w:val="0"/>
          <w:caps w:val="0"/>
          <w:color w:val="auto"/>
          <w:spacing w:val="0"/>
          <w:w w:val="100"/>
          <w:sz w:val="24"/>
          <w:szCs w:val="24"/>
          <w:highlight w:val="none"/>
          <w:lang w:eastAsia="zh-CN"/>
        </w:rPr>
        <w:t>：</w:t>
      </w:r>
      <w:r>
        <w:rPr>
          <w:rFonts w:hint="eastAsia" w:asciiTheme="minorEastAsia" w:hAnsiTheme="minorEastAsia" w:eastAsiaTheme="minorEastAsia" w:cstheme="minorEastAsia"/>
          <w:b w:val="0"/>
          <w:i w:val="0"/>
          <w:caps w:val="0"/>
          <w:color w:val="auto"/>
          <w:spacing w:val="0"/>
          <w:w w:val="100"/>
          <w:sz w:val="24"/>
          <w:szCs w:val="24"/>
          <w:highlight w:val="none"/>
          <w:lang w:val="en-US" w:eastAsia="zh-CN"/>
        </w:rPr>
        <w:t>028-60671077</w:t>
      </w:r>
    </w:p>
    <w:p>
      <w:pPr>
        <w:keepNext w:val="0"/>
        <w:keepLines w:val="0"/>
        <w:pageBreakBefore w:val="0"/>
        <w:numPr>
          <w:ilvl w:val="0"/>
          <w:numId w:val="1"/>
        </w:numPr>
        <w:kinsoku/>
        <w:wordWrap/>
        <w:overflowPunct/>
        <w:topLinePunct w:val="0"/>
        <w:autoSpaceDE/>
        <w:autoSpaceDN/>
        <w:bidi w:val="0"/>
        <w:snapToGrid w:val="0"/>
        <w:spacing w:before="0" w:beforeAutospacing="0" w:after="0" w:afterAutospacing="0" w:line="400" w:lineRule="exact"/>
        <w:ind w:firstLine="480" w:firstLineChars="200"/>
        <w:jc w:val="both"/>
        <w:textAlignment w:val="baseline"/>
        <w:rPr>
          <w:rFonts w:hint="eastAsia" w:ascii="黑体" w:hAnsi="黑体" w:eastAsia="黑体" w:cs="黑体"/>
          <w:b w:val="0"/>
          <w:i w:val="0"/>
          <w:caps w:val="0"/>
          <w:color w:val="auto"/>
          <w:spacing w:val="0"/>
          <w:w w:val="100"/>
          <w:sz w:val="24"/>
          <w:szCs w:val="24"/>
          <w:highlight w:val="none"/>
          <w:lang w:val="en-US" w:eastAsia="zh-CN"/>
        </w:rPr>
      </w:pPr>
      <w:r>
        <w:rPr>
          <w:rFonts w:hint="eastAsia" w:ascii="黑体" w:hAnsi="黑体" w:eastAsia="黑体" w:cs="黑体"/>
          <w:b w:val="0"/>
          <w:i w:val="0"/>
          <w:caps w:val="0"/>
          <w:color w:val="auto"/>
          <w:spacing w:val="0"/>
          <w:w w:val="100"/>
          <w:sz w:val="24"/>
          <w:szCs w:val="24"/>
          <w:highlight w:val="none"/>
          <w:lang w:val="en-US" w:eastAsia="zh-CN"/>
        </w:rPr>
        <w:t>评分办法</w:t>
      </w:r>
    </w:p>
    <w:tbl>
      <w:tblPr>
        <w:tblStyle w:val="12"/>
        <w:tblW w:w="492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Layout w:type="autofit"/>
        <w:tblCellMar>
          <w:top w:w="0" w:type="dxa"/>
          <w:left w:w="108" w:type="dxa"/>
          <w:bottom w:w="0" w:type="dxa"/>
          <w:right w:w="108" w:type="dxa"/>
        </w:tblCellMar>
      </w:tblPr>
      <w:tblGrid>
        <w:gridCol w:w="698"/>
        <w:gridCol w:w="1194"/>
        <w:gridCol w:w="824"/>
        <w:gridCol w:w="5428"/>
        <w:gridCol w:w="100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81"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序号</w:t>
            </w:r>
          </w:p>
        </w:tc>
        <w:tc>
          <w:tcPr>
            <w:tcW w:w="652"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评分因素及权重</w:t>
            </w:r>
          </w:p>
        </w:tc>
        <w:tc>
          <w:tcPr>
            <w:tcW w:w="450"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权重分值</w:t>
            </w:r>
          </w:p>
        </w:tc>
        <w:tc>
          <w:tcPr>
            <w:tcW w:w="2964" w:type="pct"/>
            <w:tcBorders>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评分标准</w:t>
            </w:r>
          </w:p>
        </w:tc>
        <w:tc>
          <w:tcPr>
            <w:tcW w:w="550" w:type="pct"/>
            <w:tcBorders>
              <w:bottom w:val="single" w:color="000000" w:sz="4" w:space="0"/>
            </w:tcBorders>
            <w:shd w:val="clear" w:color="auto" w:fill="auto"/>
            <w:noWrap w:val="0"/>
            <w:vAlign w:val="center"/>
          </w:tcPr>
          <w:p>
            <w:pPr>
              <w:keepNext w:val="0"/>
              <w:keepLines w:val="0"/>
              <w:pageBreakBefore w:val="0"/>
              <w:shd w:val="clear" w:color="auto" w:fill="auto"/>
              <w:kinsoku/>
              <w:wordWrap/>
              <w:overflowPunct/>
              <w:topLinePunct w:val="0"/>
              <w:autoSpaceDE/>
              <w:autoSpaceDN w:val="0"/>
              <w:bidi w:val="0"/>
              <w:adjustRightInd w:val="0"/>
              <w:snapToGrid w:val="0"/>
              <w:spacing w:line="396" w:lineRule="auto"/>
              <w:ind w:firstLine="28"/>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81"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652"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报价</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w:t>
            </w:r>
          </w:p>
        </w:tc>
        <w:tc>
          <w:tcPr>
            <w:tcW w:w="450"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分</w:t>
            </w:r>
          </w:p>
        </w:tc>
        <w:tc>
          <w:tcPr>
            <w:tcW w:w="2964" w:type="pct"/>
            <w:tcBorders>
              <w:top w:val="single" w:color="000000" w:sz="4" w:space="0"/>
              <w:bottom w:val="single" w:color="auto" w:sz="4" w:space="0"/>
              <w:right w:val="single" w:color="000000" w:sz="4" w:space="0"/>
            </w:tcBorders>
            <w:shd w:val="clear" w:color="auto" w:fill="auto"/>
            <w:noWrap w:val="0"/>
            <w:tcMar>
              <w:top w:w="0" w:type="dxa"/>
              <w:left w:w="108" w:type="dxa"/>
              <w:bottom w:w="0" w:type="dxa"/>
              <w:right w:w="108" w:type="dxa"/>
            </w:tcMar>
            <w:vAlign w:val="top"/>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满足采购文件要求且最终报价最低的有效报价为评标基准价，其价格分为满分。其他供应商的价格分统一按照下列公式计算：</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报价得分=(评审基准价／报价)×</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0分</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550" w:type="pct"/>
            <w:tcBorders>
              <w:top w:val="single" w:color="000000" w:sz="4" w:space="0"/>
              <w:bottom w:val="single" w:color="auto"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81" w:type="pct"/>
            <w:tcBorders>
              <w:top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652"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技术服务方案 2</w:t>
            </w:r>
            <w:r>
              <w:rPr>
                <w:rFonts w:hint="eastAsia" w:ascii="宋体" w:hAnsi="宋体" w:cs="宋体"/>
                <w:b w:val="0"/>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c>
          <w:tcPr>
            <w:tcW w:w="296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技术服务方案包括：①服务范围，②服务要求③人员要求，④维保设备巡检要求，⑤其他要求。方案符合采购采购文件要求的得2</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分，每有一项缺项或漏项扣</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分，每有一项内容有缺陷扣2分，扣完为止。 </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550" w:type="pct"/>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81" w:type="pct"/>
            <w:tcBorders>
              <w:top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652"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维保服务实施方案</w:t>
            </w:r>
            <w:r>
              <w:rPr>
                <w:rFonts w:hint="eastAsia" w:ascii="宋体" w:hAnsi="宋体" w:cs="宋体"/>
                <w:b w:val="0"/>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tc>
        <w:tc>
          <w:tcPr>
            <w:tcW w:w="450"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c>
          <w:tcPr>
            <w:tcW w:w="2964" w:type="pc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服务实施方案包括：①全过程维修维护维保服务实施方案，②人员配置方案，③日常报修工作流程管理，④巡检服务实施方案，⑤日常维护保养方案，⑥应急保障措施，⑦安全保障措施。方案符合采购采购文件要求的得</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分，每有一项缺项或漏项扣</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分，每有一项内容有缺陷扣2分，扣完为止。 </w:t>
            </w:r>
          </w:p>
          <w:p>
            <w:pPr>
              <w:keepNext w:val="0"/>
              <w:keepLines w:val="0"/>
              <w:pageBreakBefore w:val="0"/>
              <w:shd w:val="clear" w:color="auto" w:fill="auto"/>
              <w:kinsoku/>
              <w:wordWrap w:val="0"/>
              <w:overflowPunct/>
              <w:topLinePunct w:val="0"/>
              <w:autoSpaceDE/>
              <w:bidi w:val="0"/>
              <w:adjustRightInd w:val="0"/>
              <w:snapToGrid w:val="0"/>
              <w:spacing w:line="396" w:lineRule="auto"/>
              <w:textAlignment w:val="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550" w:type="pct"/>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81"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4</w:t>
            </w:r>
          </w:p>
        </w:tc>
        <w:tc>
          <w:tcPr>
            <w:tcW w:w="652"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履约能力</w:t>
            </w:r>
            <w:r>
              <w:rPr>
                <w:rFonts w:hint="eastAsia" w:ascii="宋体" w:hAnsi="宋体" w:cs="宋体"/>
                <w:b w:val="0"/>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tc>
        <w:tc>
          <w:tcPr>
            <w:tcW w:w="450"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w:t>
            </w:r>
          </w:p>
        </w:tc>
        <w:tc>
          <w:tcPr>
            <w:tcW w:w="2964" w:type="pct"/>
            <w:tcBorders>
              <w:top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numPr>
                <w:ilvl w:val="0"/>
                <w:numId w:val="2"/>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投标人具备中央纯水远程物联监控系统维护升级能力</w:t>
            </w:r>
            <w:r>
              <w:rPr>
                <w:rFonts w:hint="eastAsia" w:ascii="宋体" w:hAnsi="宋体" w:cs="宋体"/>
                <w:color w:val="000000" w:themeColor="text1"/>
                <w:kern w:val="0"/>
                <w:sz w:val="24"/>
                <w:szCs w:val="24"/>
                <w:highlight w:val="none"/>
                <w:lang w:val="en-US" w:eastAsia="zh-CN"/>
                <w14:textFill>
                  <w14:solidFill>
                    <w14:schemeClr w14:val="tx1"/>
                  </w14:solidFill>
                </w14:textFill>
              </w:rPr>
              <w:t>，提供相关资质证明得4分。</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．投标人具备安全生产许可证</w:t>
            </w:r>
            <w:r>
              <w:rPr>
                <w:rFonts w:hint="eastAsia" w:ascii="宋体" w:hAnsi="宋体" w:cs="宋体"/>
                <w:color w:val="000000" w:themeColor="text1"/>
                <w:kern w:val="0"/>
                <w:sz w:val="24"/>
                <w:szCs w:val="24"/>
                <w:highlight w:val="none"/>
                <w:lang w:val="en-US" w:eastAsia="zh-CN"/>
                <w14:textFill>
                  <w14:solidFill>
                    <w14:schemeClr w14:val="tx1"/>
                  </w14:solidFill>
                </w14:textFill>
              </w:rPr>
              <w:t>得4分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．投标人具备消毒产品生产企业卫生许可证</w:t>
            </w:r>
            <w:r>
              <w:rPr>
                <w:rFonts w:hint="eastAsia" w:ascii="宋体" w:hAnsi="宋体" w:cs="宋体"/>
                <w:color w:val="000000" w:themeColor="text1"/>
                <w:kern w:val="0"/>
                <w:sz w:val="24"/>
                <w:szCs w:val="24"/>
                <w:highlight w:val="none"/>
                <w:lang w:val="en-US" w:eastAsia="zh-CN"/>
                <w14:textFill>
                  <w14:solidFill>
                    <w14:schemeClr w14:val="tx1"/>
                  </w14:solidFill>
                </w14:textFill>
              </w:rPr>
              <w:t>得4分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供应商具有有效的</w:t>
            </w:r>
            <w:r>
              <w:rPr>
                <w:rFonts w:hint="eastAsia" w:hAnsi="宋体" w:cs="宋体"/>
                <w:b w:val="0"/>
                <w:bCs/>
                <w:color w:val="auto"/>
                <w:sz w:val="24"/>
                <w:szCs w:val="24"/>
                <w:highlight w:val="none"/>
                <w:lang w:val="en-US" w:eastAsia="zh-CN"/>
              </w:rPr>
              <w:t xml:space="preserve"> GB/T 27922-2011 水处理设备的售后服务相应资质</w:t>
            </w:r>
            <w:r>
              <w:rPr>
                <w:rFonts w:hint="eastAsia" w:ascii="宋体" w:hAnsi="宋体" w:eastAsia="宋体" w:cs="宋体"/>
                <w:b w:val="0"/>
                <w:bCs/>
                <w:color w:val="auto"/>
                <w:sz w:val="24"/>
                <w:szCs w:val="24"/>
                <w:highlight w:val="none"/>
                <w:lang w:val="en-US" w:eastAsia="zh-CN"/>
              </w:rPr>
              <w:t>证书的得</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分。</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default"/>
                <w:color w:val="000000" w:themeColor="text1"/>
                <w:highlight w:val="none"/>
                <w:lang w:val="en-US" w:eastAsia="zh-CN"/>
                <w14:textFill>
                  <w14:solidFill>
                    <w14:schemeClr w14:val="tx1"/>
                  </w14:solidFill>
                </w14:textFill>
              </w:rPr>
            </w:pPr>
            <w:r>
              <w:rPr>
                <w:rFonts w:hint="eastAsia"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供应商具有有效</w:t>
            </w:r>
            <w:r>
              <w:rPr>
                <w:rFonts w:hint="eastAsia" w:hAnsi="宋体" w:cs="宋体"/>
                <w:b w:val="0"/>
                <w:bCs/>
                <w:color w:val="000000" w:themeColor="text1"/>
                <w:sz w:val="24"/>
                <w:szCs w:val="24"/>
                <w:highlight w:val="none"/>
                <w:lang w:val="en-US" w:eastAsia="zh-CN"/>
                <w14:textFill>
                  <w14:solidFill>
                    <w14:schemeClr w14:val="tx1"/>
                  </w14:solidFill>
                </w14:textFill>
              </w:rPr>
              <w:t>的水处理设备设计安装维修技术认证服务能力等级证书或水处理设备生产及售后服务技术认证资质证书的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分，缺项或不提供的不得分。</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注：供应商提供的以上证明材料复印件需加盖供应商单位公章。</w:t>
            </w:r>
          </w:p>
        </w:tc>
        <w:tc>
          <w:tcPr>
            <w:tcW w:w="550" w:type="pct"/>
            <w:tcBorders>
              <w:top w:val="single" w:color="000000" w:sz="4" w:space="0"/>
              <w:bottom w:val="single" w:color="000000"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DBEEF3"/>
          <w:tblCellMar>
            <w:top w:w="0" w:type="dxa"/>
            <w:left w:w="108" w:type="dxa"/>
            <w:bottom w:w="0" w:type="dxa"/>
            <w:right w:w="108" w:type="dxa"/>
          </w:tblCellMar>
        </w:tblPrEx>
        <w:trPr>
          <w:trHeight w:val="567" w:hRule="atLeast"/>
          <w:jc w:val="center"/>
        </w:trPr>
        <w:tc>
          <w:tcPr>
            <w:tcW w:w="381"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5</w:t>
            </w:r>
          </w:p>
        </w:tc>
        <w:tc>
          <w:tcPr>
            <w:tcW w:w="652"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业绩</w:t>
            </w: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tc>
        <w:tc>
          <w:tcPr>
            <w:tcW w:w="450"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w:t>
            </w:r>
          </w:p>
        </w:tc>
        <w:tc>
          <w:tcPr>
            <w:tcW w:w="2964" w:type="pct"/>
            <w:tcBorders>
              <w:top w:val="single" w:color="000000" w:sz="4" w:space="0"/>
              <w:right w:val="single" w:color="000000"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Chars="0" w:right="0" w:right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供应商提供202</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年1月1日至今类似项目业绩，每有一个得</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分，最多得</w:t>
            </w: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分。（提供中标/成交通知书或合同复印件）</w:t>
            </w:r>
          </w:p>
        </w:tc>
        <w:tc>
          <w:tcPr>
            <w:tcW w:w="550" w:type="pct"/>
            <w:tcBorders>
              <w:top w:val="single" w:color="000000" w:sz="4" w:space="0"/>
              <w:bottom w:val="single" w:color="000000" w:sz="4" w:space="0"/>
            </w:tcBorders>
            <w:shd w:val="clear" w:color="auto" w:fill="auto"/>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396" w:lineRule="auto"/>
              <w:ind w:left="0" w:leftChars="0" w:right="0" w:rightChars="0" w:firstLine="0" w:firstLineChars="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r>
    </w:tbl>
    <w:p>
      <w:pPr>
        <w:pStyle w:val="2"/>
        <w:rPr>
          <w:rFonts w:hint="eastAsia"/>
          <w:lang w:val="en-US" w:eastAsia="zh-CN"/>
        </w:rPr>
      </w:pPr>
    </w:p>
    <w:p>
      <w:pPr>
        <w:pStyle w:val="2"/>
        <w:rPr>
          <w:rFonts w:hint="eastAsia"/>
          <w:lang w:val="en-US" w:eastAsia="zh-CN"/>
        </w:rPr>
      </w:pPr>
    </w:p>
    <w:p>
      <w:pPr>
        <w:keepNext w:val="0"/>
        <w:keepLines w:val="0"/>
        <w:pageBreakBefore w:val="0"/>
        <w:numPr>
          <w:ilvl w:val="-1"/>
          <w:numId w:val="0"/>
        </w:numPr>
        <w:kinsoku/>
        <w:wordWrap/>
        <w:overflowPunct/>
        <w:topLinePunct w:val="0"/>
        <w:autoSpaceDE/>
        <w:autoSpaceDN/>
        <w:bidi w:val="0"/>
        <w:snapToGrid w:val="0"/>
        <w:spacing w:before="0" w:beforeAutospacing="0" w:after="0" w:afterAutospacing="0" w:line="400" w:lineRule="exact"/>
        <w:ind w:firstLine="0" w:firstLineChars="0"/>
        <w:jc w:val="both"/>
        <w:textAlignment w:val="baseline"/>
        <w:rPr>
          <w:rFonts w:hint="default" w:asciiTheme="minorEastAsia" w:hAnsiTheme="minorEastAsia" w:eastAsiaTheme="minorEastAsia" w:cstheme="minorEastAsia"/>
          <w:b w:val="0"/>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bookmarkStart w:id="0" w:name="_GoBack"/>
      <w:bookmarkEnd w:id="0"/>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pStyle w:val="2"/>
        <w:rPr>
          <w:rFonts w:hint="default"/>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eastAsia" w:ascii="宋体" w:hAnsi="宋体" w:eastAsia="宋体" w:cs="宋体"/>
          <w:b/>
          <w:bCs w:val="0"/>
          <w:color w:val="auto"/>
          <w:sz w:val="24"/>
          <w:szCs w:val="24"/>
          <w:highlight w:val="none"/>
          <w:lang w:val="en-US" w:eastAsia="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left"/>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5"/>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ind w:left="0" w:leftChars="0" w:firstLine="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7"/>
        <w:rPr>
          <w:rFonts w:hint="eastAsia" w:ascii="宋体" w:hAnsi="宋体" w:eastAsia="宋体" w:cs="宋体"/>
          <w:b/>
          <w:bCs/>
          <w:color w:val="auto"/>
          <w:sz w:val="24"/>
          <w:szCs w:val="24"/>
          <w:highlight w:val="none"/>
        </w:rPr>
      </w:pPr>
    </w:p>
    <w:p>
      <w:pPr>
        <w:pStyle w:val="14"/>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left"/>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2"/>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；存在管理关系单位为：</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ind w:firstLine="6960" w:firstLineChars="2900"/>
        <w:rPr>
          <w:highlight w:val="none"/>
        </w:rPr>
      </w:pP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FAF2B455"/>
    <w:multiLevelType w:val="singleLevel"/>
    <w:tmpl w:val="FAF2B455"/>
    <w:lvl w:ilvl="0" w:tentative="0">
      <w:start w:val="1"/>
      <w:numFmt w:val="decimal"/>
      <w:suff w:val="nothing"/>
      <w:lvlText w:val="%1．"/>
      <w:lvlJc w:val="left"/>
    </w:lvl>
  </w:abstractNum>
  <w:abstractNum w:abstractNumId="2">
    <w:nsid w:val="2B7F8603"/>
    <w:multiLevelType w:val="singleLevel"/>
    <w:tmpl w:val="2B7F8603"/>
    <w:lvl w:ilvl="0" w:tentative="0">
      <w:start w:val="1"/>
      <w:numFmt w:val="bullet"/>
      <w:lvlText w:val=""/>
      <w:lvlJc w:val="left"/>
      <w:pPr>
        <w:ind w:left="420" w:hanging="42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5C367077"/>
    <w:multiLevelType w:val="singleLevel"/>
    <w:tmpl w:val="5C367077"/>
    <w:lvl w:ilvl="0" w:tentative="0">
      <w:start w:val="5"/>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482D85"/>
    <w:rsid w:val="006D5772"/>
    <w:rsid w:val="00921F00"/>
    <w:rsid w:val="00984987"/>
    <w:rsid w:val="009C4A0E"/>
    <w:rsid w:val="009D248F"/>
    <w:rsid w:val="00ED31FD"/>
    <w:rsid w:val="015757DF"/>
    <w:rsid w:val="01582E9F"/>
    <w:rsid w:val="02246107"/>
    <w:rsid w:val="023968C9"/>
    <w:rsid w:val="024B5F91"/>
    <w:rsid w:val="029C1F55"/>
    <w:rsid w:val="02A602E6"/>
    <w:rsid w:val="033E4BBF"/>
    <w:rsid w:val="034C5FE5"/>
    <w:rsid w:val="036E6D37"/>
    <w:rsid w:val="03E6023B"/>
    <w:rsid w:val="042B4F95"/>
    <w:rsid w:val="06556E22"/>
    <w:rsid w:val="06841C19"/>
    <w:rsid w:val="069B49E3"/>
    <w:rsid w:val="0772132A"/>
    <w:rsid w:val="08012A56"/>
    <w:rsid w:val="08181E21"/>
    <w:rsid w:val="08465830"/>
    <w:rsid w:val="08592DDC"/>
    <w:rsid w:val="091A5274"/>
    <w:rsid w:val="09280895"/>
    <w:rsid w:val="092F499C"/>
    <w:rsid w:val="095256B4"/>
    <w:rsid w:val="095F2F6D"/>
    <w:rsid w:val="097F12A3"/>
    <w:rsid w:val="09DC42D4"/>
    <w:rsid w:val="0A2E2341"/>
    <w:rsid w:val="0A45184F"/>
    <w:rsid w:val="0A80214B"/>
    <w:rsid w:val="0ACF324E"/>
    <w:rsid w:val="0B051E6E"/>
    <w:rsid w:val="0B645971"/>
    <w:rsid w:val="0B6B0440"/>
    <w:rsid w:val="0B9E65BE"/>
    <w:rsid w:val="0C4729B0"/>
    <w:rsid w:val="0C5B1651"/>
    <w:rsid w:val="0C79253B"/>
    <w:rsid w:val="0CE1020E"/>
    <w:rsid w:val="0CF3634C"/>
    <w:rsid w:val="0D146881"/>
    <w:rsid w:val="0D272843"/>
    <w:rsid w:val="0D5A4DF7"/>
    <w:rsid w:val="0E4F2D85"/>
    <w:rsid w:val="0E6111B3"/>
    <w:rsid w:val="0E732523"/>
    <w:rsid w:val="0F4628CF"/>
    <w:rsid w:val="0F71729A"/>
    <w:rsid w:val="0FA07251"/>
    <w:rsid w:val="0FB43951"/>
    <w:rsid w:val="0FD26785"/>
    <w:rsid w:val="104C0E8A"/>
    <w:rsid w:val="108465A8"/>
    <w:rsid w:val="10D727AF"/>
    <w:rsid w:val="111E3E9F"/>
    <w:rsid w:val="11272EDF"/>
    <w:rsid w:val="1131282D"/>
    <w:rsid w:val="12AB39AF"/>
    <w:rsid w:val="12E86C5C"/>
    <w:rsid w:val="13CA11AE"/>
    <w:rsid w:val="13D51B0E"/>
    <w:rsid w:val="14AB256A"/>
    <w:rsid w:val="14B26303"/>
    <w:rsid w:val="15003E83"/>
    <w:rsid w:val="162345C8"/>
    <w:rsid w:val="16996C22"/>
    <w:rsid w:val="16B212CB"/>
    <w:rsid w:val="172B6FA2"/>
    <w:rsid w:val="177F6166"/>
    <w:rsid w:val="17C0146C"/>
    <w:rsid w:val="17CC24D3"/>
    <w:rsid w:val="17E23BBC"/>
    <w:rsid w:val="17E636BE"/>
    <w:rsid w:val="183C6178"/>
    <w:rsid w:val="186F7C91"/>
    <w:rsid w:val="18974964"/>
    <w:rsid w:val="18991A7D"/>
    <w:rsid w:val="19092780"/>
    <w:rsid w:val="192B394B"/>
    <w:rsid w:val="19892FF3"/>
    <w:rsid w:val="19BE7C49"/>
    <w:rsid w:val="19C17AC6"/>
    <w:rsid w:val="19F2719F"/>
    <w:rsid w:val="1A33348C"/>
    <w:rsid w:val="1AD70716"/>
    <w:rsid w:val="1AFA79D1"/>
    <w:rsid w:val="1B8B54B4"/>
    <w:rsid w:val="1BAC5276"/>
    <w:rsid w:val="1BC77E2B"/>
    <w:rsid w:val="1BDB10EE"/>
    <w:rsid w:val="1BE43985"/>
    <w:rsid w:val="1C007D91"/>
    <w:rsid w:val="1C9633F0"/>
    <w:rsid w:val="1CF56512"/>
    <w:rsid w:val="1DAF6A6B"/>
    <w:rsid w:val="1DF41425"/>
    <w:rsid w:val="1F104283"/>
    <w:rsid w:val="1F3D3E4E"/>
    <w:rsid w:val="1F445427"/>
    <w:rsid w:val="1F4934E4"/>
    <w:rsid w:val="1F65294C"/>
    <w:rsid w:val="1F6B20B0"/>
    <w:rsid w:val="1FD72787"/>
    <w:rsid w:val="1FF61864"/>
    <w:rsid w:val="20485605"/>
    <w:rsid w:val="20EA5447"/>
    <w:rsid w:val="2161289E"/>
    <w:rsid w:val="223E69B9"/>
    <w:rsid w:val="225678E3"/>
    <w:rsid w:val="22727213"/>
    <w:rsid w:val="229349A5"/>
    <w:rsid w:val="22941BB8"/>
    <w:rsid w:val="22EE382C"/>
    <w:rsid w:val="234F359F"/>
    <w:rsid w:val="243756FF"/>
    <w:rsid w:val="246A716A"/>
    <w:rsid w:val="250671CD"/>
    <w:rsid w:val="257B0F03"/>
    <w:rsid w:val="264755DA"/>
    <w:rsid w:val="26812C37"/>
    <w:rsid w:val="26C40427"/>
    <w:rsid w:val="27955252"/>
    <w:rsid w:val="27BA2F3E"/>
    <w:rsid w:val="281955CF"/>
    <w:rsid w:val="28927B60"/>
    <w:rsid w:val="28B673D6"/>
    <w:rsid w:val="28C11F12"/>
    <w:rsid w:val="29723FBC"/>
    <w:rsid w:val="298261D0"/>
    <w:rsid w:val="29C81999"/>
    <w:rsid w:val="29D614AF"/>
    <w:rsid w:val="2A044599"/>
    <w:rsid w:val="2A614116"/>
    <w:rsid w:val="2C6A44EB"/>
    <w:rsid w:val="2C88731E"/>
    <w:rsid w:val="2CE341B5"/>
    <w:rsid w:val="2CF3776A"/>
    <w:rsid w:val="2D5531EF"/>
    <w:rsid w:val="2DBC7637"/>
    <w:rsid w:val="2E100C6F"/>
    <w:rsid w:val="2E374FCD"/>
    <w:rsid w:val="2E767899"/>
    <w:rsid w:val="2EA36C98"/>
    <w:rsid w:val="2EDF7472"/>
    <w:rsid w:val="2F5F4880"/>
    <w:rsid w:val="2F627A4C"/>
    <w:rsid w:val="2FA96B3D"/>
    <w:rsid w:val="300A115E"/>
    <w:rsid w:val="302D2DA3"/>
    <w:rsid w:val="30D77610"/>
    <w:rsid w:val="313A7F7A"/>
    <w:rsid w:val="314300D2"/>
    <w:rsid w:val="31A7648E"/>
    <w:rsid w:val="31CB4E58"/>
    <w:rsid w:val="31E53FEC"/>
    <w:rsid w:val="320F6D52"/>
    <w:rsid w:val="3358764C"/>
    <w:rsid w:val="33A335F7"/>
    <w:rsid w:val="33DB02DB"/>
    <w:rsid w:val="33DC7E78"/>
    <w:rsid w:val="340F1379"/>
    <w:rsid w:val="34180725"/>
    <w:rsid w:val="3468259F"/>
    <w:rsid w:val="34BE33D7"/>
    <w:rsid w:val="34C91565"/>
    <w:rsid w:val="352A5349"/>
    <w:rsid w:val="357E2962"/>
    <w:rsid w:val="359C1E05"/>
    <w:rsid w:val="35C12F3E"/>
    <w:rsid w:val="35F5574D"/>
    <w:rsid w:val="361200A0"/>
    <w:rsid w:val="361A126B"/>
    <w:rsid w:val="36B65380"/>
    <w:rsid w:val="36C108E2"/>
    <w:rsid w:val="37005E48"/>
    <w:rsid w:val="38037FF5"/>
    <w:rsid w:val="383E6B55"/>
    <w:rsid w:val="3848634F"/>
    <w:rsid w:val="384B03E9"/>
    <w:rsid w:val="38AB470E"/>
    <w:rsid w:val="39C151C6"/>
    <w:rsid w:val="3A7D5906"/>
    <w:rsid w:val="3AE422AB"/>
    <w:rsid w:val="3B8F0C1C"/>
    <w:rsid w:val="3BD34132"/>
    <w:rsid w:val="3C0F1D99"/>
    <w:rsid w:val="3C6E7BB4"/>
    <w:rsid w:val="3C9E2902"/>
    <w:rsid w:val="3CA52D4B"/>
    <w:rsid w:val="3D6B2F4F"/>
    <w:rsid w:val="3DB16F47"/>
    <w:rsid w:val="3DB94F3A"/>
    <w:rsid w:val="3DFD1958"/>
    <w:rsid w:val="3E313B9A"/>
    <w:rsid w:val="3E661EED"/>
    <w:rsid w:val="3E8A67A1"/>
    <w:rsid w:val="3ED42FCB"/>
    <w:rsid w:val="3F431355"/>
    <w:rsid w:val="40A73B9C"/>
    <w:rsid w:val="40B30F05"/>
    <w:rsid w:val="40E039F3"/>
    <w:rsid w:val="4156334E"/>
    <w:rsid w:val="41E164FA"/>
    <w:rsid w:val="426E4414"/>
    <w:rsid w:val="428663F6"/>
    <w:rsid w:val="4300375D"/>
    <w:rsid w:val="43144A19"/>
    <w:rsid w:val="451B5954"/>
    <w:rsid w:val="452748AE"/>
    <w:rsid w:val="452B5081"/>
    <w:rsid w:val="453839C0"/>
    <w:rsid w:val="45751852"/>
    <w:rsid w:val="45817197"/>
    <w:rsid w:val="45B12031"/>
    <w:rsid w:val="468B3C9E"/>
    <w:rsid w:val="469D2210"/>
    <w:rsid w:val="46AC5600"/>
    <w:rsid w:val="46BD331C"/>
    <w:rsid w:val="46F6376A"/>
    <w:rsid w:val="46F761ED"/>
    <w:rsid w:val="473B5650"/>
    <w:rsid w:val="474859D6"/>
    <w:rsid w:val="47514196"/>
    <w:rsid w:val="476F4815"/>
    <w:rsid w:val="4793207A"/>
    <w:rsid w:val="47B83351"/>
    <w:rsid w:val="47D34754"/>
    <w:rsid w:val="48A97644"/>
    <w:rsid w:val="49A91765"/>
    <w:rsid w:val="49D3138F"/>
    <w:rsid w:val="49E46B5D"/>
    <w:rsid w:val="4A2C1D3E"/>
    <w:rsid w:val="4ACD0A09"/>
    <w:rsid w:val="4B020A9D"/>
    <w:rsid w:val="4B250168"/>
    <w:rsid w:val="4B7E4DD4"/>
    <w:rsid w:val="4BAE772A"/>
    <w:rsid w:val="4BFB4CD4"/>
    <w:rsid w:val="4C334692"/>
    <w:rsid w:val="4C407C94"/>
    <w:rsid w:val="4D1E4865"/>
    <w:rsid w:val="4E375CD5"/>
    <w:rsid w:val="4E7613C9"/>
    <w:rsid w:val="4E7E637A"/>
    <w:rsid w:val="4EAD7762"/>
    <w:rsid w:val="4F70242A"/>
    <w:rsid w:val="4F915F2D"/>
    <w:rsid w:val="50216424"/>
    <w:rsid w:val="502E6B39"/>
    <w:rsid w:val="508942AC"/>
    <w:rsid w:val="5091665B"/>
    <w:rsid w:val="50E336C1"/>
    <w:rsid w:val="518B59E0"/>
    <w:rsid w:val="519B60B2"/>
    <w:rsid w:val="51A43F33"/>
    <w:rsid w:val="5244176A"/>
    <w:rsid w:val="52622C38"/>
    <w:rsid w:val="52FA0819"/>
    <w:rsid w:val="53350A12"/>
    <w:rsid w:val="534B7333"/>
    <w:rsid w:val="53C24CE1"/>
    <w:rsid w:val="53FD2C6F"/>
    <w:rsid w:val="549C125E"/>
    <w:rsid w:val="54E226D0"/>
    <w:rsid w:val="55052047"/>
    <w:rsid w:val="552A00CC"/>
    <w:rsid w:val="55E95AB0"/>
    <w:rsid w:val="563A0D3B"/>
    <w:rsid w:val="56D50C94"/>
    <w:rsid w:val="56E65920"/>
    <w:rsid w:val="57026E44"/>
    <w:rsid w:val="5750174C"/>
    <w:rsid w:val="57B13448"/>
    <w:rsid w:val="57DA16B0"/>
    <w:rsid w:val="589645C5"/>
    <w:rsid w:val="58D02FFC"/>
    <w:rsid w:val="591D3EFE"/>
    <w:rsid w:val="593928F1"/>
    <w:rsid w:val="594264E0"/>
    <w:rsid w:val="59A20E33"/>
    <w:rsid w:val="5A53303E"/>
    <w:rsid w:val="5A870015"/>
    <w:rsid w:val="5B0F2F2D"/>
    <w:rsid w:val="5BAB48F4"/>
    <w:rsid w:val="5BAE5879"/>
    <w:rsid w:val="5BB269CF"/>
    <w:rsid w:val="5BCD17B1"/>
    <w:rsid w:val="5C4A5ECA"/>
    <w:rsid w:val="5CB53B05"/>
    <w:rsid w:val="5CF71093"/>
    <w:rsid w:val="5D242E5C"/>
    <w:rsid w:val="5E79239E"/>
    <w:rsid w:val="5ECB39D9"/>
    <w:rsid w:val="5F7F0ABD"/>
    <w:rsid w:val="5F8B27B2"/>
    <w:rsid w:val="5FAE320C"/>
    <w:rsid w:val="5FD8114B"/>
    <w:rsid w:val="605A7FEA"/>
    <w:rsid w:val="60D04374"/>
    <w:rsid w:val="60DD1C11"/>
    <w:rsid w:val="60EF6A3B"/>
    <w:rsid w:val="6109503A"/>
    <w:rsid w:val="616B7363"/>
    <w:rsid w:val="62913E5B"/>
    <w:rsid w:val="62A57FE5"/>
    <w:rsid w:val="62BC7C0A"/>
    <w:rsid w:val="636A4DB7"/>
    <w:rsid w:val="64014A1E"/>
    <w:rsid w:val="6430046B"/>
    <w:rsid w:val="648107EF"/>
    <w:rsid w:val="64A545D0"/>
    <w:rsid w:val="659202A7"/>
    <w:rsid w:val="65A773E8"/>
    <w:rsid w:val="665A717C"/>
    <w:rsid w:val="669F69A6"/>
    <w:rsid w:val="66D51044"/>
    <w:rsid w:val="676A4DBB"/>
    <w:rsid w:val="67925DF7"/>
    <w:rsid w:val="67CE21A0"/>
    <w:rsid w:val="67E4235D"/>
    <w:rsid w:val="68753642"/>
    <w:rsid w:val="689F73B6"/>
    <w:rsid w:val="694420C2"/>
    <w:rsid w:val="69DB150E"/>
    <w:rsid w:val="6A2162EC"/>
    <w:rsid w:val="6A4269B9"/>
    <w:rsid w:val="6B3A73C5"/>
    <w:rsid w:val="6B405AFC"/>
    <w:rsid w:val="6C8D0485"/>
    <w:rsid w:val="6D3908C7"/>
    <w:rsid w:val="6D401B23"/>
    <w:rsid w:val="6D4B73A9"/>
    <w:rsid w:val="6E3531DF"/>
    <w:rsid w:val="6E935777"/>
    <w:rsid w:val="708910DA"/>
    <w:rsid w:val="71034277"/>
    <w:rsid w:val="71365D4B"/>
    <w:rsid w:val="713A21D2"/>
    <w:rsid w:val="71505BB9"/>
    <w:rsid w:val="71C60118"/>
    <w:rsid w:val="720D7FAC"/>
    <w:rsid w:val="721C027D"/>
    <w:rsid w:val="72506497"/>
    <w:rsid w:val="726A5B3D"/>
    <w:rsid w:val="72F52BA7"/>
    <w:rsid w:val="73293BFC"/>
    <w:rsid w:val="738E13A2"/>
    <w:rsid w:val="73EF3B37"/>
    <w:rsid w:val="750501DF"/>
    <w:rsid w:val="75091F13"/>
    <w:rsid w:val="758C6C69"/>
    <w:rsid w:val="75F4430E"/>
    <w:rsid w:val="763E4FD8"/>
    <w:rsid w:val="765948FC"/>
    <w:rsid w:val="76D90E8A"/>
    <w:rsid w:val="770F0450"/>
    <w:rsid w:val="776A0596"/>
    <w:rsid w:val="77704880"/>
    <w:rsid w:val="77710438"/>
    <w:rsid w:val="784D2B10"/>
    <w:rsid w:val="788344C8"/>
    <w:rsid w:val="78D9723F"/>
    <w:rsid w:val="78E22525"/>
    <w:rsid w:val="792C5E5B"/>
    <w:rsid w:val="798A03F3"/>
    <w:rsid w:val="79D2378C"/>
    <w:rsid w:val="7A9925BE"/>
    <w:rsid w:val="7AC5017B"/>
    <w:rsid w:val="7ADD16FE"/>
    <w:rsid w:val="7AE91634"/>
    <w:rsid w:val="7B070BE4"/>
    <w:rsid w:val="7B1B3108"/>
    <w:rsid w:val="7B37335A"/>
    <w:rsid w:val="7BAD4424"/>
    <w:rsid w:val="7BED7CDE"/>
    <w:rsid w:val="7C031D81"/>
    <w:rsid w:val="7C293625"/>
    <w:rsid w:val="7D6C7155"/>
    <w:rsid w:val="7D913B11"/>
    <w:rsid w:val="7DCD5EF4"/>
    <w:rsid w:val="7DE85EBE"/>
    <w:rsid w:val="7E280196"/>
    <w:rsid w:val="7E345685"/>
    <w:rsid w:val="7E466AB8"/>
    <w:rsid w:val="7E642C0C"/>
    <w:rsid w:val="7EA87DD3"/>
    <w:rsid w:val="7EC44D29"/>
    <w:rsid w:val="7F15170F"/>
    <w:rsid w:val="7F31607D"/>
    <w:rsid w:val="7F867444"/>
    <w:rsid w:val="7FD5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0"/>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spacing w:line="460" w:lineRule="exact"/>
      <w:ind w:firstLine="567"/>
    </w:pPr>
    <w:rPr>
      <w:rFonts w:ascii="宋体" w:hAnsi="Courier New" w:eastAsia="仿宋_GB2312"/>
      <w:sz w:val="28"/>
      <w:szCs w:val="20"/>
    </w:rPr>
  </w:style>
  <w:style w:type="paragraph" w:styleId="8">
    <w:name w:val="toc 1"/>
    <w:basedOn w:val="1"/>
    <w:next w:val="1"/>
    <w:qFormat/>
    <w:uiPriority w:val="0"/>
    <w:pPr>
      <w:spacing w:line="180" w:lineRule="auto"/>
      <w:jc w:val="center"/>
    </w:pPr>
    <w:rPr>
      <w:sz w:val="30"/>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qFormat/>
    <w:uiPriority w:val="0"/>
    <w:pPr>
      <w:ind w:firstLine="420"/>
    </w:p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6644</Words>
  <Characters>6958</Characters>
  <Lines>0</Lines>
  <Paragraphs>0</Paragraphs>
  <TotalTime>0</TotalTime>
  <ScaleCrop>false</ScaleCrop>
  <LinksUpToDate>false</LinksUpToDate>
  <CharactersWithSpaces>7418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hasee</cp:lastModifiedBy>
  <dcterms:modified xsi:type="dcterms:W3CDTF">2025-01-15T01:57:25Z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923B9F5592324E8FBB9EF9BBDD0D59A7_12</vt:lpwstr>
  </property>
  <property fmtid="{D5CDD505-2E9C-101B-9397-08002B2CF9AE}" pid="4" name="KSOTemplateDocerSaveRecord">
    <vt:lpwstr>eyJoZGlkIjoiYzZkNzQ4ZWFiZmQ4NTRhOWRkZTk3YTMwMjlmMmZhYmUiLCJ1c2VySWQiOiI0MTI5MTA5NzIifQ==</vt:lpwstr>
  </property>
</Properties>
</file>