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D0" w:rsidRDefault="00FD06D0" w:rsidP="007C501C">
      <w:pPr>
        <w:spacing w:line="400" w:lineRule="exact"/>
        <w:rPr>
          <w:rFonts w:ascii="宋体"/>
          <w:sz w:val="24"/>
          <w:szCs w:val="24"/>
        </w:rPr>
      </w:pPr>
      <w:r w:rsidRPr="005E0915">
        <w:rPr>
          <w:rFonts w:ascii="仿宋_GB2312" w:eastAsia="仿宋_GB2312" w:cs="仿宋_GB2312" w:hint="eastAsia"/>
          <w:sz w:val="30"/>
          <w:szCs w:val="30"/>
        </w:rPr>
        <w:t>附件</w:t>
      </w:r>
      <w:r w:rsidRPr="005E0915">
        <w:rPr>
          <w:rFonts w:ascii="仿宋_GB2312" w:eastAsia="仿宋_GB2312" w:cs="仿宋_GB2312"/>
          <w:sz w:val="30"/>
          <w:szCs w:val="30"/>
        </w:rPr>
        <w:t>1</w:t>
      </w:r>
      <w:r w:rsidRPr="005E0915"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 w:hint="eastAsia"/>
          <w:sz w:val="30"/>
          <w:szCs w:val="30"/>
        </w:rPr>
        <w:t>医院绩效管理咨询服务及配套软件采购需求</w:t>
      </w:r>
    </w:p>
    <w:p w:rsidR="00FD06D0" w:rsidRDefault="00FD06D0" w:rsidP="00F80C1D">
      <w:pPr>
        <w:pStyle w:val="1"/>
        <w:ind w:firstLineChars="0" w:firstLine="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1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、项目名称和数量</w:t>
      </w:r>
      <w:r>
        <w:rPr>
          <w:rFonts w:ascii="仿宋_GB2312" w:eastAsia="仿宋_GB2312" w:cs="仿宋_GB2312" w:hint="eastAsia"/>
          <w:sz w:val="30"/>
          <w:szCs w:val="30"/>
        </w:rPr>
        <w:t>：医院绩效管理咨询服务及配套软件一套。</w:t>
      </w:r>
    </w:p>
    <w:p w:rsidR="00FD06D0" w:rsidRDefault="00FD06D0" w:rsidP="00F80C1D">
      <w:pPr>
        <w:pStyle w:val="1"/>
        <w:ind w:firstLineChars="0" w:firstLine="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、采购内容包括：</w:t>
      </w:r>
    </w:p>
    <w:p w:rsidR="00FD06D0" w:rsidRDefault="00FD06D0" w:rsidP="00F80C1D">
      <w:pPr>
        <w:pStyle w:val="1"/>
        <w:ind w:firstLineChars="0" w:firstLine="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2.1</w:t>
      </w:r>
      <w:r>
        <w:rPr>
          <w:rFonts w:ascii="仿宋_GB2312" w:eastAsia="仿宋_GB2312" w:cs="仿宋_GB2312" w:hint="eastAsia"/>
          <w:sz w:val="30"/>
          <w:szCs w:val="30"/>
        </w:rPr>
        <w:t>采用以预算为导向、平衡计分卡（</w:t>
      </w:r>
      <w:r>
        <w:rPr>
          <w:rFonts w:ascii="仿宋_GB2312" w:eastAsia="仿宋_GB2312" w:cs="仿宋_GB2312"/>
          <w:sz w:val="30"/>
          <w:szCs w:val="30"/>
        </w:rPr>
        <w:t>BSC</w:t>
      </w:r>
      <w:r>
        <w:rPr>
          <w:rFonts w:ascii="仿宋_GB2312" w:eastAsia="仿宋_GB2312" w:cs="仿宋_GB2312" w:hint="eastAsia"/>
          <w:sz w:val="30"/>
          <w:szCs w:val="30"/>
        </w:rPr>
        <w:t>）的综合绩效管理模式，设计医院绩效管理全套可实施的解决方案文件，并配置与方案文件相配套的系统软件。</w:t>
      </w:r>
    </w:p>
    <w:p w:rsidR="00FD06D0" w:rsidRDefault="00FD06D0" w:rsidP="00F80C1D">
      <w:pPr>
        <w:pStyle w:val="1"/>
        <w:ind w:firstLineChars="0" w:firstLine="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2.2</w:t>
      </w:r>
      <w:r>
        <w:rPr>
          <w:rFonts w:ascii="仿宋_GB2312" w:eastAsia="仿宋_GB2312" w:cs="仿宋_GB2312" w:hint="eastAsia"/>
          <w:sz w:val="30"/>
          <w:szCs w:val="30"/>
        </w:rPr>
        <w:t>负责方案的具体讲解与对应实施，系统软件须包含提供软件、负责信息系统使用培训、更新升级和履行有关服务等内容。</w:t>
      </w:r>
    </w:p>
    <w:p w:rsidR="00FD06D0" w:rsidRDefault="00FD06D0" w:rsidP="00F80C1D">
      <w:pPr>
        <w:pStyle w:val="1"/>
        <w:ind w:firstLineChars="0" w:firstLine="0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、咨询服务要求：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方案制定：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3.1.1</w:t>
      </w:r>
      <w:r>
        <w:rPr>
          <w:rFonts w:ascii="仿宋_GB2312" w:eastAsia="仿宋_GB2312" w:cs="仿宋_GB2312" w:hint="eastAsia"/>
          <w:sz w:val="30"/>
          <w:szCs w:val="30"/>
        </w:rPr>
        <w:t>制定符合医院实际情况的绩效管理方案，满足医院绩效管理需求，包括对医院考核对象设定和医院绩效方案制定，对科室考核对设定和科室绩效方案制定，对职工考核对象设定和职工绩效方案制定。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5E0915">
        <w:rPr>
          <w:rFonts w:ascii="仿宋_GB2312" w:eastAsia="仿宋_GB2312" w:cs="仿宋_GB2312"/>
          <w:b/>
          <w:bCs/>
          <w:sz w:val="30"/>
          <w:szCs w:val="30"/>
        </w:rPr>
        <w:t>3.1.2</w:t>
      </w:r>
      <w:r>
        <w:rPr>
          <w:rFonts w:ascii="仿宋_GB2312" w:eastAsia="仿宋_GB2312" w:cs="仿宋_GB2312" w:hint="eastAsia"/>
          <w:sz w:val="30"/>
          <w:szCs w:val="30"/>
        </w:rPr>
        <w:t>建立合理、有效的绩效考核</w:t>
      </w:r>
      <w:r w:rsidRPr="002D5AFE">
        <w:rPr>
          <w:rFonts w:ascii="仿宋_GB2312" w:eastAsia="仿宋_GB2312" w:cs="仿宋_GB2312" w:hint="eastAsia"/>
          <w:sz w:val="30"/>
          <w:szCs w:val="30"/>
        </w:rPr>
        <w:t>指标</w:t>
      </w:r>
      <w:r>
        <w:rPr>
          <w:rFonts w:ascii="仿宋_GB2312" w:eastAsia="仿宋_GB2312" w:cs="仿宋_GB2312" w:hint="eastAsia"/>
          <w:sz w:val="30"/>
          <w:szCs w:val="30"/>
        </w:rPr>
        <w:t>、评价体系。</w:t>
      </w:r>
      <w:r w:rsidRPr="002D5AFE">
        <w:rPr>
          <w:rFonts w:ascii="仿宋_GB2312" w:eastAsia="仿宋_GB2312" w:cs="仿宋_GB2312" w:hint="eastAsia"/>
          <w:sz w:val="30"/>
          <w:szCs w:val="30"/>
        </w:rPr>
        <w:t>围绕办院方向、社会效益、医疗服务、经济管理、人才培养培训、可持续发展等方面，</w:t>
      </w:r>
      <w:r>
        <w:rPr>
          <w:rFonts w:ascii="仿宋_GB2312" w:eastAsia="仿宋_GB2312" w:cs="仿宋_GB2312" w:hint="eastAsia"/>
          <w:sz w:val="30"/>
          <w:szCs w:val="30"/>
        </w:rPr>
        <w:t>建立</w:t>
      </w:r>
      <w:r w:rsidRPr="002D5AFE">
        <w:rPr>
          <w:rFonts w:ascii="仿宋_GB2312" w:eastAsia="仿宋_GB2312" w:cs="仿宋_GB2312" w:hint="eastAsia"/>
          <w:sz w:val="30"/>
          <w:szCs w:val="30"/>
        </w:rPr>
        <w:t>突出岗位职责履行、工作量、服务质量、行为规范、医疗质量安全、医疗费用控制、医德医风和患者满意度等</w:t>
      </w:r>
      <w:r>
        <w:rPr>
          <w:rFonts w:ascii="仿宋_GB2312" w:eastAsia="仿宋_GB2312" w:cs="仿宋_GB2312" w:hint="eastAsia"/>
          <w:sz w:val="30"/>
          <w:szCs w:val="30"/>
        </w:rPr>
        <w:t>绩效考核指标。</w:t>
      </w:r>
      <w:r w:rsidRPr="002D5AFE">
        <w:rPr>
          <w:rFonts w:ascii="仿宋_GB2312" w:eastAsia="仿宋_GB2312" w:cs="仿宋_GB2312" w:hint="eastAsia"/>
          <w:sz w:val="30"/>
          <w:szCs w:val="30"/>
        </w:rPr>
        <w:t>对医院的绩效考核落实到科室和医务人员，对不同</w:t>
      </w:r>
      <w:r>
        <w:rPr>
          <w:rFonts w:ascii="仿宋_GB2312" w:eastAsia="仿宋_GB2312" w:cs="仿宋_GB2312" w:hint="eastAsia"/>
          <w:sz w:val="30"/>
          <w:szCs w:val="30"/>
        </w:rPr>
        <w:t>岗位、不同职级医务人员实行分类考核</w:t>
      </w:r>
      <w:r>
        <w:rPr>
          <w:rFonts w:ascii="仿宋_GB2312" w:eastAsia="仿宋_GB2312" w:cs="仿宋_GB2312"/>
          <w:sz w:val="30"/>
          <w:szCs w:val="30"/>
        </w:rPr>
        <w:t>,</w:t>
      </w:r>
      <w:r>
        <w:rPr>
          <w:rFonts w:ascii="仿宋_GB2312" w:eastAsia="仿宋_GB2312" w:cs="仿宋_GB2312" w:hint="eastAsia"/>
          <w:sz w:val="30"/>
          <w:szCs w:val="30"/>
        </w:rPr>
        <w:t>达到激励员工积极性、提升整体服务效能、提高成本控制水平、改善职能科室管理能力、促进院所健康快速发展的目的；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 w:cs="仿宋_GB2312"/>
          <w:sz w:val="30"/>
          <w:szCs w:val="30"/>
        </w:rPr>
      </w:pPr>
      <w:r w:rsidRPr="005E0915">
        <w:rPr>
          <w:rFonts w:ascii="仿宋_GB2312" w:eastAsia="仿宋_GB2312" w:cs="仿宋_GB2312"/>
          <w:b/>
          <w:bCs/>
          <w:sz w:val="30"/>
          <w:szCs w:val="30"/>
        </w:rPr>
        <w:t>3.1.3</w:t>
      </w:r>
      <w:r>
        <w:rPr>
          <w:rFonts w:ascii="仿宋_GB2312" w:eastAsia="仿宋_GB2312" w:cs="仿宋_GB2312" w:hint="eastAsia"/>
          <w:sz w:val="30"/>
          <w:szCs w:val="30"/>
        </w:rPr>
        <w:t>符合新医改精神，体现公立医院、保证区域公共卫生的社会公益性，突出妇幼保健院管理特色；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3.1.4</w:t>
      </w:r>
      <w:r>
        <w:rPr>
          <w:rFonts w:ascii="仿宋_GB2312" w:eastAsia="仿宋_GB2312" w:cs="仿宋_GB2312" w:hint="eastAsia"/>
          <w:sz w:val="30"/>
          <w:szCs w:val="30"/>
        </w:rPr>
        <w:t>充分利用现有资源，提高医院运营效率，突出重点学科</w:t>
      </w:r>
      <w:r>
        <w:rPr>
          <w:rFonts w:ascii="仿宋_GB2312" w:eastAsia="仿宋_GB2312" w:cs="仿宋_GB2312"/>
          <w:sz w:val="30"/>
          <w:szCs w:val="30"/>
        </w:rPr>
        <w:t>,</w:t>
      </w:r>
      <w:r>
        <w:rPr>
          <w:rFonts w:ascii="仿宋_GB2312" w:eastAsia="仿宋_GB2312" w:cs="仿宋_GB2312" w:hint="eastAsia"/>
          <w:sz w:val="30"/>
          <w:szCs w:val="30"/>
        </w:rPr>
        <w:t>体现不同学科业务发展规律和特点；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3.1.5</w:t>
      </w:r>
      <w:r>
        <w:rPr>
          <w:rFonts w:ascii="仿宋_GB2312" w:eastAsia="仿宋_GB2312" w:cs="仿宋_GB2312" w:hint="eastAsia"/>
          <w:sz w:val="30"/>
          <w:szCs w:val="30"/>
        </w:rPr>
        <w:t>保障和提高全体员工的收入水平，确保员工福利水平的提高和医院的同步发展；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3.1.6</w:t>
      </w:r>
      <w:r>
        <w:rPr>
          <w:rFonts w:ascii="仿宋_GB2312" w:eastAsia="仿宋_GB2312" w:cs="仿宋_GB2312" w:hint="eastAsia"/>
          <w:sz w:val="30"/>
          <w:szCs w:val="30"/>
        </w:rPr>
        <w:t>分类测算，合理确定不同类别、不同岗位人员的绩效考核关键指标，充分调动员工积极性；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3.1.7</w:t>
      </w:r>
      <w:r>
        <w:rPr>
          <w:rFonts w:ascii="仿宋_GB2312" w:eastAsia="仿宋_GB2312" w:cs="仿宋_GB2312" w:hint="eastAsia"/>
          <w:sz w:val="30"/>
          <w:szCs w:val="30"/>
        </w:rPr>
        <w:t>以向临床一线、风险大、人均工作量大、重点学科等科室倾斜为激励次序；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3.1.8</w:t>
      </w:r>
      <w:r>
        <w:rPr>
          <w:rFonts w:ascii="仿宋_GB2312" w:eastAsia="仿宋_GB2312" w:cs="仿宋_GB2312" w:hint="eastAsia"/>
          <w:sz w:val="30"/>
          <w:szCs w:val="30"/>
        </w:rPr>
        <w:t>以岗位价值为导向，体现多劳多得、优绩优酬；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3.1.9</w:t>
      </w:r>
      <w:r>
        <w:rPr>
          <w:rFonts w:ascii="仿宋_GB2312" w:eastAsia="仿宋_GB2312" w:cs="仿宋_GB2312" w:hint="eastAsia"/>
          <w:sz w:val="30"/>
          <w:szCs w:val="30"/>
        </w:rPr>
        <w:t>制定医院一次分配（到部门、科室）的绩效分配方案，完成试运行和正式运行；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3.1.10</w:t>
      </w:r>
      <w:r>
        <w:rPr>
          <w:rFonts w:ascii="仿宋_GB2312" w:eastAsia="仿宋_GB2312" w:cs="仿宋_GB2312" w:hint="eastAsia"/>
          <w:sz w:val="30"/>
          <w:szCs w:val="30"/>
        </w:rPr>
        <w:t>体现医护分开，优劳优得，在充分调研基础上，制定各部门和科室二次分配（到个人）的指导性方案，建立合理的二次分配体系</w:t>
      </w:r>
      <w:r>
        <w:rPr>
          <w:rFonts w:ascii="仿宋_GB2312" w:eastAsia="仿宋_GB2312" w:cs="仿宋_GB2312"/>
          <w:sz w:val="30"/>
          <w:szCs w:val="30"/>
        </w:rPr>
        <w:t>,</w:t>
      </w:r>
      <w:r>
        <w:rPr>
          <w:rFonts w:ascii="仿宋_GB2312" w:eastAsia="仿宋_GB2312" w:cs="仿宋_GB2312" w:hint="eastAsia"/>
          <w:sz w:val="30"/>
          <w:szCs w:val="30"/>
        </w:rPr>
        <w:t>充分调动一线职工积极性；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3.1.11</w:t>
      </w:r>
      <w:r>
        <w:rPr>
          <w:rFonts w:ascii="仿宋_GB2312" w:eastAsia="仿宋_GB2312" w:cs="仿宋_GB2312" w:hint="eastAsia"/>
          <w:sz w:val="30"/>
          <w:szCs w:val="30"/>
        </w:rPr>
        <w:t>建立全院质量管控考核体系、分级考核体系及考核细则；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3.1.12</w:t>
      </w:r>
      <w:r>
        <w:rPr>
          <w:rFonts w:ascii="仿宋_GB2312" w:eastAsia="仿宋_GB2312" w:cs="仿宋_GB2312" w:hint="eastAsia"/>
          <w:sz w:val="30"/>
          <w:szCs w:val="30"/>
        </w:rPr>
        <w:t>建立全院岗位价值评价体系。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3.2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方案审核与分析：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3.2.1</w:t>
      </w:r>
      <w:r>
        <w:rPr>
          <w:rFonts w:ascii="仿宋_GB2312" w:eastAsia="仿宋_GB2312" w:cs="仿宋_GB2312" w:hint="eastAsia"/>
          <w:sz w:val="30"/>
          <w:szCs w:val="30"/>
        </w:rPr>
        <w:t>能够收集绩效考核所需的相关指标数据，并进行相关绩效分配数据的分析；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3.2.2</w:t>
      </w:r>
      <w:r>
        <w:rPr>
          <w:rFonts w:ascii="仿宋_GB2312" w:eastAsia="仿宋_GB2312" w:cs="仿宋_GB2312" w:hint="eastAsia"/>
          <w:sz w:val="30"/>
          <w:szCs w:val="30"/>
        </w:rPr>
        <w:t>制定当期绩效管理目标等信息，可添加、删除、修改、查询，能做到对医院、对科室、对个人绩效方案的审核与查询功能；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3.2.3</w:t>
      </w:r>
      <w:r>
        <w:rPr>
          <w:rFonts w:ascii="仿宋_GB2312" w:eastAsia="仿宋_GB2312" w:cs="仿宋_GB2312" w:hint="eastAsia"/>
          <w:sz w:val="30"/>
          <w:szCs w:val="30"/>
        </w:rPr>
        <w:t>能定期对医院绩效、科室绩效、职工绩效分配、考评结果等进行总结、分析。</w:t>
      </w:r>
    </w:p>
    <w:p w:rsidR="00FD06D0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4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、管理系统软件技术要求</w:t>
      </w:r>
    </w:p>
    <w:p w:rsidR="00FD06D0" w:rsidRDefault="00FD06D0" w:rsidP="00787F20">
      <w:pPr>
        <w:snapToGrid w:val="0"/>
        <w:spacing w:line="360" w:lineRule="auto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医院精细化绩效管理系统软件，是医院实施绩效管理过程中重要的工具，可以有效帮助医院建立绩效管理体系，进行客观准确的绩效考核，为医院管理者提供精细化管理目标与信息，对医院的人力、物力、财力更科学便捷的调控配置，发挥最佳效果。能满足目标</w:t>
      </w:r>
      <w:r>
        <w:rPr>
          <w:rFonts w:ascii="仿宋_GB2312" w:eastAsia="仿宋_GB2312" w:cs="仿宋_GB2312"/>
          <w:sz w:val="30"/>
          <w:szCs w:val="30"/>
        </w:rPr>
        <w:t>-</w:t>
      </w:r>
      <w:r>
        <w:rPr>
          <w:rFonts w:ascii="仿宋_GB2312" w:eastAsia="仿宋_GB2312" w:cs="仿宋_GB2312" w:hint="eastAsia"/>
          <w:sz w:val="30"/>
          <w:szCs w:val="30"/>
        </w:rPr>
        <w:t>方案</w:t>
      </w:r>
      <w:r>
        <w:rPr>
          <w:rFonts w:ascii="仿宋_GB2312" w:eastAsia="仿宋_GB2312" w:cs="仿宋_GB2312"/>
          <w:sz w:val="30"/>
          <w:szCs w:val="30"/>
        </w:rPr>
        <w:t>-</w:t>
      </w:r>
      <w:r>
        <w:rPr>
          <w:rFonts w:ascii="仿宋_GB2312" w:eastAsia="仿宋_GB2312" w:cs="仿宋_GB2312" w:hint="eastAsia"/>
          <w:sz w:val="30"/>
          <w:szCs w:val="30"/>
        </w:rPr>
        <w:t>考评</w:t>
      </w:r>
      <w:r>
        <w:rPr>
          <w:rFonts w:ascii="仿宋_GB2312" w:eastAsia="仿宋_GB2312" w:cs="仿宋_GB2312"/>
          <w:sz w:val="30"/>
          <w:szCs w:val="30"/>
        </w:rPr>
        <w:t>-</w:t>
      </w:r>
      <w:r>
        <w:rPr>
          <w:rFonts w:ascii="仿宋_GB2312" w:eastAsia="仿宋_GB2312" w:cs="仿宋_GB2312" w:hint="eastAsia"/>
          <w:sz w:val="30"/>
          <w:szCs w:val="30"/>
        </w:rPr>
        <w:t>总结</w:t>
      </w:r>
      <w:r>
        <w:rPr>
          <w:rFonts w:ascii="仿宋_GB2312" w:eastAsia="仿宋_GB2312" w:cs="仿宋_GB2312"/>
          <w:sz w:val="30"/>
          <w:szCs w:val="30"/>
        </w:rPr>
        <w:t>-</w:t>
      </w:r>
      <w:r>
        <w:rPr>
          <w:rFonts w:ascii="仿宋_GB2312" w:eastAsia="仿宋_GB2312" w:cs="仿宋_GB2312" w:hint="eastAsia"/>
          <w:sz w:val="30"/>
          <w:szCs w:val="30"/>
        </w:rPr>
        <w:t>激励的完整流程，且所有计算结果可清晰展现，并可追溯。</w:t>
      </w:r>
    </w:p>
    <w:p w:rsidR="00FD06D0" w:rsidRPr="00F80C1D" w:rsidRDefault="00FD06D0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FD06D0" w:rsidRDefault="00FD06D0" w:rsidP="00787B62">
      <w:pPr>
        <w:spacing w:line="400" w:lineRule="exact"/>
        <w:rPr>
          <w:rFonts w:ascii="仿宋_GB2312" w:eastAsia="仿宋_GB2312"/>
          <w:sz w:val="30"/>
          <w:szCs w:val="30"/>
        </w:rPr>
      </w:pPr>
      <w:r w:rsidRPr="005E0915">
        <w:rPr>
          <w:rFonts w:ascii="仿宋_GB2312" w:eastAsia="仿宋_GB2312" w:cs="仿宋_GB2312" w:hint="eastAsia"/>
          <w:sz w:val="30"/>
          <w:szCs w:val="30"/>
        </w:rPr>
        <w:t>附件</w:t>
      </w:r>
      <w:r w:rsidRPr="005E0915">
        <w:rPr>
          <w:rFonts w:ascii="仿宋_GB2312" w:eastAsia="仿宋_GB2312" w:cs="仿宋_GB2312"/>
          <w:sz w:val="30"/>
          <w:szCs w:val="30"/>
        </w:rPr>
        <w:t>2</w:t>
      </w:r>
      <w:r w:rsidRPr="005E0915">
        <w:rPr>
          <w:rFonts w:ascii="仿宋_GB2312" w:eastAsia="仿宋_GB2312" w:cs="仿宋_GB2312" w:hint="eastAsia"/>
          <w:sz w:val="30"/>
          <w:szCs w:val="30"/>
        </w:rPr>
        <w:t>：</w:t>
      </w:r>
      <w:r w:rsidRPr="00D95DA7">
        <w:rPr>
          <w:rFonts w:ascii="宋体" w:hAnsi="宋体" w:cs="宋体" w:hint="eastAsia"/>
          <w:b/>
          <w:bCs/>
          <w:sz w:val="28"/>
          <w:szCs w:val="28"/>
        </w:rPr>
        <w:t>报价一览表</w:t>
      </w:r>
    </w:p>
    <w:p w:rsidR="00FD06D0" w:rsidRPr="00216C77" w:rsidRDefault="00FD06D0" w:rsidP="005E0915">
      <w:pPr>
        <w:spacing w:line="240" w:lineRule="atLeast"/>
        <w:jc w:val="center"/>
        <w:rPr>
          <w:rFonts w:ascii="宋体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228"/>
        <w:gridCol w:w="1064"/>
        <w:gridCol w:w="1019"/>
        <w:gridCol w:w="1019"/>
        <w:gridCol w:w="1019"/>
        <w:gridCol w:w="2589"/>
      </w:tblGrid>
      <w:tr w:rsidR="00FD06D0" w:rsidRPr="00216C77">
        <w:trPr>
          <w:trHeight w:val="735"/>
        </w:trPr>
        <w:tc>
          <w:tcPr>
            <w:tcW w:w="342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6C77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20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624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品牌</w:t>
            </w: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598" w:type="pct"/>
            <w:vAlign w:val="center"/>
          </w:tcPr>
          <w:p w:rsidR="00FD06D0" w:rsidRDefault="00FD06D0" w:rsidP="00E226EC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价</w:t>
            </w:r>
          </w:p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（单价）</w:t>
            </w:r>
          </w:p>
        </w:tc>
        <w:tc>
          <w:tcPr>
            <w:tcW w:w="1519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FD06D0" w:rsidRPr="00216C77">
        <w:trPr>
          <w:trHeight w:val="735"/>
        </w:trPr>
        <w:tc>
          <w:tcPr>
            <w:tcW w:w="342" w:type="pct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720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D06D0" w:rsidRPr="00216C77">
        <w:trPr>
          <w:trHeight w:val="735"/>
        </w:trPr>
        <w:tc>
          <w:tcPr>
            <w:tcW w:w="342" w:type="pct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720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D06D0" w:rsidRPr="00216C77">
        <w:trPr>
          <w:trHeight w:val="735"/>
        </w:trPr>
        <w:tc>
          <w:tcPr>
            <w:tcW w:w="342" w:type="pct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720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:rsidR="00FD06D0" w:rsidRPr="00216C77" w:rsidRDefault="00FD06D0" w:rsidP="00E226E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FD06D0" w:rsidRDefault="00FD06D0" w:rsidP="005E0915">
      <w:pPr>
        <w:spacing w:line="400" w:lineRule="exact"/>
        <w:jc w:val="left"/>
        <w:rPr>
          <w:rFonts w:ascii="宋体"/>
          <w:sz w:val="24"/>
          <w:szCs w:val="24"/>
        </w:rPr>
      </w:pPr>
      <w:r w:rsidRPr="00216C77">
        <w:rPr>
          <w:rFonts w:ascii="宋体" w:hAnsi="宋体" w:cs="宋体" w:hint="eastAsia"/>
          <w:sz w:val="24"/>
          <w:szCs w:val="24"/>
        </w:rPr>
        <w:t>注：</w:t>
      </w:r>
      <w:r w:rsidRPr="00216C77">
        <w:rPr>
          <w:rFonts w:ascii="宋体" w:hAnsi="宋体" w:cs="宋体"/>
          <w:sz w:val="24"/>
          <w:szCs w:val="24"/>
        </w:rPr>
        <w:t xml:space="preserve">1. </w:t>
      </w:r>
      <w:r w:rsidRPr="00216C77">
        <w:rPr>
          <w:rFonts w:ascii="宋体" w:hAnsi="宋体" w:cs="宋体" w:hint="eastAsia"/>
          <w:sz w:val="24"/>
          <w:szCs w:val="24"/>
        </w:rPr>
        <w:t>报价应是最终用户验收合格后的总价，包括设备运输、保险、代理、安装调试、培训、税费、系统集成费用和</w:t>
      </w:r>
      <w:r>
        <w:rPr>
          <w:rFonts w:ascii="宋体" w:hAnsi="宋体" w:cs="宋体" w:hint="eastAsia"/>
          <w:sz w:val="24"/>
          <w:szCs w:val="24"/>
        </w:rPr>
        <w:t>采购</w:t>
      </w:r>
      <w:r w:rsidRPr="00216C77">
        <w:rPr>
          <w:rFonts w:ascii="宋体" w:hAnsi="宋体" w:cs="宋体" w:hint="eastAsia"/>
          <w:sz w:val="24"/>
          <w:szCs w:val="24"/>
        </w:rPr>
        <w:t>文件规定的其它费用。</w:t>
      </w:r>
      <w:r w:rsidRPr="00216C77">
        <w:rPr>
          <w:rFonts w:ascii="宋体" w:hAnsi="宋体" w:cs="宋体"/>
          <w:sz w:val="24"/>
          <w:szCs w:val="24"/>
        </w:rPr>
        <w:t xml:space="preserve"> </w:t>
      </w:r>
    </w:p>
    <w:p w:rsidR="00FD06D0" w:rsidRPr="00216C77" w:rsidRDefault="00FD06D0" w:rsidP="00787F20">
      <w:pPr>
        <w:spacing w:line="400" w:lineRule="exact"/>
        <w:ind w:firstLineChars="200" w:firstLine="31680"/>
        <w:jc w:val="left"/>
        <w:rPr>
          <w:rFonts w:ascii="宋体"/>
          <w:sz w:val="24"/>
          <w:szCs w:val="24"/>
        </w:rPr>
      </w:pPr>
    </w:p>
    <w:p w:rsidR="00FD06D0" w:rsidRDefault="00FD06D0" w:rsidP="005E0915">
      <w:pPr>
        <w:spacing w:line="240" w:lineRule="atLeast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公司名称：</w:t>
      </w:r>
    </w:p>
    <w:p w:rsidR="00FD06D0" w:rsidRDefault="00FD06D0" w:rsidP="005E0915">
      <w:pPr>
        <w:spacing w:line="240" w:lineRule="atLeast"/>
        <w:rPr>
          <w:rFonts w:ascii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代表签字：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联系方式：</w:t>
      </w:r>
    </w:p>
    <w:p w:rsidR="00FD06D0" w:rsidRDefault="00FD06D0" w:rsidP="005E0915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FD06D0" w:rsidRPr="005E0915" w:rsidRDefault="00FD06D0" w:rsidP="00787B62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FD06D0" w:rsidRPr="00F80C1D" w:rsidRDefault="00FD06D0" w:rsidP="00787B62">
      <w:pPr>
        <w:spacing w:line="400" w:lineRule="exact"/>
        <w:rPr>
          <w:rFonts w:ascii="宋体"/>
          <w:sz w:val="24"/>
          <w:szCs w:val="24"/>
        </w:rPr>
      </w:pPr>
    </w:p>
    <w:p w:rsidR="00FD06D0" w:rsidRPr="00EA2C65" w:rsidRDefault="00FD06D0" w:rsidP="00EA2C65">
      <w:pPr>
        <w:rPr>
          <w:sz w:val="28"/>
          <w:szCs w:val="28"/>
        </w:rPr>
      </w:pPr>
      <w:r w:rsidRPr="00EA2C65"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3</w:t>
      </w:r>
      <w:r w:rsidRPr="00EA2C65">
        <w:rPr>
          <w:rFonts w:ascii="宋体" w:hAnsi="宋体" w:cs="宋体" w:hint="eastAsia"/>
          <w:sz w:val="28"/>
          <w:szCs w:val="28"/>
        </w:rPr>
        <w:t>：</w:t>
      </w:r>
      <w:r w:rsidRPr="00EA2C65">
        <w:rPr>
          <w:rFonts w:cs="宋体" w:hint="eastAsia"/>
          <w:sz w:val="28"/>
          <w:szCs w:val="28"/>
        </w:rPr>
        <w:t>用户情况表</w:t>
      </w:r>
    </w:p>
    <w:tbl>
      <w:tblPr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1551"/>
        <w:gridCol w:w="1481"/>
        <w:gridCol w:w="1344"/>
        <w:gridCol w:w="936"/>
      </w:tblGrid>
      <w:tr w:rsidR="00FD06D0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934" w:type="dxa"/>
          </w:tcPr>
          <w:p w:rsidR="00FD06D0" w:rsidRPr="00E0696A" w:rsidRDefault="00FD06D0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用户名称</w:t>
            </w:r>
          </w:p>
        </w:tc>
        <w:tc>
          <w:tcPr>
            <w:tcW w:w="1551" w:type="dxa"/>
          </w:tcPr>
          <w:p w:rsidR="00FD06D0" w:rsidRPr="00E0696A" w:rsidRDefault="00FD06D0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合同价格或中标价格</w:t>
            </w:r>
          </w:p>
        </w:tc>
        <w:tc>
          <w:tcPr>
            <w:tcW w:w="1481" w:type="dxa"/>
          </w:tcPr>
          <w:p w:rsidR="00FD06D0" w:rsidRPr="00E0696A" w:rsidRDefault="00FD06D0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中标时间</w:t>
            </w:r>
          </w:p>
        </w:tc>
        <w:tc>
          <w:tcPr>
            <w:tcW w:w="1344" w:type="dxa"/>
          </w:tcPr>
          <w:p w:rsidR="00FD06D0" w:rsidRPr="00E0696A" w:rsidRDefault="00FD06D0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936" w:type="dxa"/>
          </w:tcPr>
          <w:p w:rsidR="00FD06D0" w:rsidRPr="00E0696A" w:rsidRDefault="00FD06D0" w:rsidP="00A242ED">
            <w:pPr>
              <w:jc w:val="center"/>
              <w:rPr>
                <w:sz w:val="24"/>
                <w:szCs w:val="24"/>
              </w:rPr>
            </w:pPr>
            <w:r w:rsidRPr="00E0696A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FD06D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FD06D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FD06D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省内省级单位用户</w:t>
            </w: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90"/>
          <w:jc w:val="center"/>
        </w:trPr>
        <w:tc>
          <w:tcPr>
            <w:tcW w:w="1056" w:type="dxa"/>
            <w:vMerge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FD06D0" w:rsidRPr="004D2992" w:rsidRDefault="00FD06D0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省内</w:t>
            </w:r>
            <w:r w:rsidRPr="004D2992">
              <w:rPr>
                <w:rFonts w:cs="宋体" w:hint="eastAsia"/>
                <w:sz w:val="28"/>
                <w:szCs w:val="28"/>
              </w:rPr>
              <w:t>其他</w:t>
            </w:r>
            <w:r>
              <w:rPr>
                <w:rFonts w:cs="宋体" w:hint="eastAsia"/>
                <w:sz w:val="28"/>
                <w:szCs w:val="28"/>
              </w:rPr>
              <w:t>用户</w:t>
            </w: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375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375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375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375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375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265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265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265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265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  <w:tr w:rsidR="00FD06D0">
        <w:trPr>
          <w:trHeight w:val="300"/>
          <w:jc w:val="center"/>
        </w:trPr>
        <w:tc>
          <w:tcPr>
            <w:tcW w:w="1056" w:type="dxa"/>
            <w:vMerge/>
          </w:tcPr>
          <w:p w:rsidR="00FD06D0" w:rsidRPr="004D2992" w:rsidRDefault="00FD06D0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D06D0" w:rsidRPr="00F63029" w:rsidRDefault="00FD06D0" w:rsidP="00A242ED">
            <w:pPr>
              <w:rPr>
                <w:sz w:val="24"/>
                <w:szCs w:val="24"/>
              </w:rPr>
            </w:pPr>
          </w:p>
        </w:tc>
      </w:tr>
    </w:tbl>
    <w:p w:rsidR="00FD06D0" w:rsidRPr="000C2189" w:rsidRDefault="00FD06D0" w:rsidP="00787B62"/>
    <w:p w:rsidR="00FD06D0" w:rsidRPr="00787B62" w:rsidRDefault="00FD06D0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sectPr w:rsidR="00FD06D0" w:rsidRPr="00787B62" w:rsidSect="005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D0" w:rsidRDefault="00FD06D0" w:rsidP="00AE555C">
      <w:r>
        <w:separator/>
      </w:r>
    </w:p>
  </w:endnote>
  <w:endnote w:type="continuationSeparator" w:id="1">
    <w:p w:rsidR="00FD06D0" w:rsidRDefault="00FD06D0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D0" w:rsidRDefault="00FD06D0" w:rsidP="00AE555C">
      <w:r>
        <w:separator/>
      </w:r>
    </w:p>
  </w:footnote>
  <w:footnote w:type="continuationSeparator" w:id="1">
    <w:p w:rsidR="00FD06D0" w:rsidRDefault="00FD06D0" w:rsidP="00AE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ECD"/>
    <w:multiLevelType w:val="hybridMultilevel"/>
    <w:tmpl w:val="F63AC5B8"/>
    <w:lvl w:ilvl="0" w:tplc="7AF47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92C06"/>
    <w:multiLevelType w:val="singleLevel"/>
    <w:tmpl w:val="59A92C06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A8174C9"/>
    <w:multiLevelType w:val="hybridMultilevel"/>
    <w:tmpl w:val="96CEF4DA"/>
    <w:lvl w:ilvl="0" w:tplc="1B4EFD1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EA"/>
    <w:rsid w:val="00007823"/>
    <w:rsid w:val="00014D90"/>
    <w:rsid w:val="00016E5F"/>
    <w:rsid w:val="000313EC"/>
    <w:rsid w:val="000354DE"/>
    <w:rsid w:val="00043484"/>
    <w:rsid w:val="00044B8A"/>
    <w:rsid w:val="0004621A"/>
    <w:rsid w:val="00076266"/>
    <w:rsid w:val="00094FD5"/>
    <w:rsid w:val="000A0E29"/>
    <w:rsid w:val="000C2189"/>
    <w:rsid w:val="001017E9"/>
    <w:rsid w:val="001031C5"/>
    <w:rsid w:val="001059CE"/>
    <w:rsid w:val="00113E41"/>
    <w:rsid w:val="00120F0B"/>
    <w:rsid w:val="00137A26"/>
    <w:rsid w:val="00171B5A"/>
    <w:rsid w:val="001C5577"/>
    <w:rsid w:val="001F3363"/>
    <w:rsid w:val="001F3902"/>
    <w:rsid w:val="001F5260"/>
    <w:rsid w:val="002117CD"/>
    <w:rsid w:val="00216C77"/>
    <w:rsid w:val="00217C01"/>
    <w:rsid w:val="0022491E"/>
    <w:rsid w:val="00226B6E"/>
    <w:rsid w:val="0023027D"/>
    <w:rsid w:val="00270009"/>
    <w:rsid w:val="0027305C"/>
    <w:rsid w:val="002A3E52"/>
    <w:rsid w:val="002A5AB4"/>
    <w:rsid w:val="002C78F4"/>
    <w:rsid w:val="002D5AFE"/>
    <w:rsid w:val="002E135C"/>
    <w:rsid w:val="002F1CA6"/>
    <w:rsid w:val="002F5F3B"/>
    <w:rsid w:val="0030073A"/>
    <w:rsid w:val="003017F4"/>
    <w:rsid w:val="003406A2"/>
    <w:rsid w:val="0034661A"/>
    <w:rsid w:val="00363C55"/>
    <w:rsid w:val="00374D16"/>
    <w:rsid w:val="003878C3"/>
    <w:rsid w:val="00395844"/>
    <w:rsid w:val="00396D04"/>
    <w:rsid w:val="003C7C18"/>
    <w:rsid w:val="003E5D75"/>
    <w:rsid w:val="00407177"/>
    <w:rsid w:val="0042773F"/>
    <w:rsid w:val="00437B0C"/>
    <w:rsid w:val="00452236"/>
    <w:rsid w:val="0045497B"/>
    <w:rsid w:val="00456C7E"/>
    <w:rsid w:val="00490241"/>
    <w:rsid w:val="004A6F83"/>
    <w:rsid w:val="004A7CFB"/>
    <w:rsid w:val="004B5B48"/>
    <w:rsid w:val="004D2992"/>
    <w:rsid w:val="004D6DEA"/>
    <w:rsid w:val="004D7EB0"/>
    <w:rsid w:val="00504017"/>
    <w:rsid w:val="0051443F"/>
    <w:rsid w:val="0051727A"/>
    <w:rsid w:val="00523C2D"/>
    <w:rsid w:val="005279DC"/>
    <w:rsid w:val="00567720"/>
    <w:rsid w:val="0057276D"/>
    <w:rsid w:val="00576504"/>
    <w:rsid w:val="005A015A"/>
    <w:rsid w:val="005B277B"/>
    <w:rsid w:val="005E0915"/>
    <w:rsid w:val="005E58F5"/>
    <w:rsid w:val="005E7043"/>
    <w:rsid w:val="006060A4"/>
    <w:rsid w:val="00607114"/>
    <w:rsid w:val="006079A4"/>
    <w:rsid w:val="00631F5E"/>
    <w:rsid w:val="006751FF"/>
    <w:rsid w:val="00681866"/>
    <w:rsid w:val="006A1FA2"/>
    <w:rsid w:val="006C7927"/>
    <w:rsid w:val="006E769A"/>
    <w:rsid w:val="006F1622"/>
    <w:rsid w:val="006F3AC7"/>
    <w:rsid w:val="006F7A98"/>
    <w:rsid w:val="00704B0A"/>
    <w:rsid w:val="00704B92"/>
    <w:rsid w:val="00721469"/>
    <w:rsid w:val="0073058C"/>
    <w:rsid w:val="007342E9"/>
    <w:rsid w:val="007416DC"/>
    <w:rsid w:val="007542BA"/>
    <w:rsid w:val="00772724"/>
    <w:rsid w:val="00783952"/>
    <w:rsid w:val="00787B62"/>
    <w:rsid w:val="00787F20"/>
    <w:rsid w:val="007B4DD1"/>
    <w:rsid w:val="007C501C"/>
    <w:rsid w:val="007E2357"/>
    <w:rsid w:val="0080642E"/>
    <w:rsid w:val="00824DBA"/>
    <w:rsid w:val="008274E4"/>
    <w:rsid w:val="00827CB3"/>
    <w:rsid w:val="00830A3D"/>
    <w:rsid w:val="00891062"/>
    <w:rsid w:val="008B2D61"/>
    <w:rsid w:val="008B5BC3"/>
    <w:rsid w:val="008E1BB6"/>
    <w:rsid w:val="008E4936"/>
    <w:rsid w:val="008E5AE9"/>
    <w:rsid w:val="00902DAA"/>
    <w:rsid w:val="00934EDD"/>
    <w:rsid w:val="00935066"/>
    <w:rsid w:val="009A3BFC"/>
    <w:rsid w:val="009B1DE1"/>
    <w:rsid w:val="009B2859"/>
    <w:rsid w:val="009B64C3"/>
    <w:rsid w:val="009C5366"/>
    <w:rsid w:val="009D46E3"/>
    <w:rsid w:val="009D6BC3"/>
    <w:rsid w:val="009D760A"/>
    <w:rsid w:val="009E4696"/>
    <w:rsid w:val="00A242ED"/>
    <w:rsid w:val="00A24CC0"/>
    <w:rsid w:val="00A3190D"/>
    <w:rsid w:val="00A33CCD"/>
    <w:rsid w:val="00A5311F"/>
    <w:rsid w:val="00A721DC"/>
    <w:rsid w:val="00A7226A"/>
    <w:rsid w:val="00A819BB"/>
    <w:rsid w:val="00AE555C"/>
    <w:rsid w:val="00AF513D"/>
    <w:rsid w:val="00B1076E"/>
    <w:rsid w:val="00B43E7A"/>
    <w:rsid w:val="00B47146"/>
    <w:rsid w:val="00B53B25"/>
    <w:rsid w:val="00B56512"/>
    <w:rsid w:val="00B642B3"/>
    <w:rsid w:val="00B75947"/>
    <w:rsid w:val="00B830EE"/>
    <w:rsid w:val="00BA7A7C"/>
    <w:rsid w:val="00BD7687"/>
    <w:rsid w:val="00C96980"/>
    <w:rsid w:val="00CC17B5"/>
    <w:rsid w:val="00CC4D91"/>
    <w:rsid w:val="00CD503D"/>
    <w:rsid w:val="00D25FAA"/>
    <w:rsid w:val="00D43623"/>
    <w:rsid w:val="00D7045D"/>
    <w:rsid w:val="00D949C1"/>
    <w:rsid w:val="00D95DA7"/>
    <w:rsid w:val="00DC0D03"/>
    <w:rsid w:val="00DE6FD4"/>
    <w:rsid w:val="00DF3555"/>
    <w:rsid w:val="00E0696A"/>
    <w:rsid w:val="00E124F2"/>
    <w:rsid w:val="00E226EC"/>
    <w:rsid w:val="00E315A9"/>
    <w:rsid w:val="00E541E8"/>
    <w:rsid w:val="00E70AA4"/>
    <w:rsid w:val="00E72088"/>
    <w:rsid w:val="00E72BEA"/>
    <w:rsid w:val="00E821AE"/>
    <w:rsid w:val="00E8793F"/>
    <w:rsid w:val="00E947D5"/>
    <w:rsid w:val="00E955AF"/>
    <w:rsid w:val="00EA2C65"/>
    <w:rsid w:val="00EA7727"/>
    <w:rsid w:val="00EB2676"/>
    <w:rsid w:val="00EE240D"/>
    <w:rsid w:val="00EE6A86"/>
    <w:rsid w:val="00EF1E43"/>
    <w:rsid w:val="00EF4790"/>
    <w:rsid w:val="00F05A84"/>
    <w:rsid w:val="00F13F20"/>
    <w:rsid w:val="00F359F5"/>
    <w:rsid w:val="00F41B9F"/>
    <w:rsid w:val="00F42A8A"/>
    <w:rsid w:val="00F557BA"/>
    <w:rsid w:val="00F63029"/>
    <w:rsid w:val="00F63717"/>
    <w:rsid w:val="00F80C1D"/>
    <w:rsid w:val="00F84C4F"/>
    <w:rsid w:val="00FD06D0"/>
    <w:rsid w:val="00FE12DE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E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BEA"/>
    <w:rPr>
      <w:rFonts w:eastAsia="黑体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30FC"/>
    <w:rPr>
      <w:szCs w:val="21"/>
    </w:rPr>
  </w:style>
  <w:style w:type="character" w:styleId="Hyperlink">
    <w:name w:val="Hyperlink"/>
    <w:basedOn w:val="DefaultParagraphFont"/>
    <w:uiPriority w:val="99"/>
    <w:rsid w:val="00E72B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555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555C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02D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FC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9D760A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F80C1D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250</Words>
  <Characters>1427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subject/>
  <dc:creator>User</dc:creator>
  <cp:keywords/>
  <dc:description/>
  <cp:lastModifiedBy>高雅然</cp:lastModifiedBy>
  <cp:revision>6</cp:revision>
  <dcterms:created xsi:type="dcterms:W3CDTF">2017-11-29T09:06:00Z</dcterms:created>
  <dcterms:modified xsi:type="dcterms:W3CDTF">2017-12-01T00:37:00Z</dcterms:modified>
</cp:coreProperties>
</file>