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360" w:lineRule="auto"/>
        <w:ind w:firstLine="646" w:firstLineChars="202"/>
        <w:jc w:val="center"/>
        <w:rPr>
          <w:rFonts w:ascii="黑体" w:eastAsia="黑体"/>
          <w:color w:val="000000"/>
          <w:kern w:val="0"/>
          <w:sz w:val="32"/>
          <w:szCs w:val="32"/>
        </w:rPr>
      </w:pPr>
      <w:r>
        <w:rPr>
          <w:rFonts w:hint="eastAsia" w:ascii="黑体" w:hAnsi="宋体" w:eastAsia="黑体" w:cs="黑体"/>
          <w:color w:val="000000"/>
          <w:kern w:val="0"/>
          <w:sz w:val="32"/>
          <w:szCs w:val="32"/>
        </w:rPr>
        <w:t>四川省妇幼保健院</w:t>
      </w:r>
    </w:p>
    <w:p>
      <w:pPr>
        <w:spacing w:line="360" w:lineRule="auto"/>
        <w:ind w:firstLine="646" w:firstLineChars="202"/>
        <w:jc w:val="center"/>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消防设施及系统维护保养服务采购</w:t>
      </w:r>
    </w:p>
    <w:p>
      <w:pPr>
        <w:spacing w:line="360" w:lineRule="auto"/>
        <w:ind w:firstLine="646" w:firstLineChars="202"/>
        <w:jc w:val="center"/>
        <w:rPr>
          <w:rFonts w:ascii="黑体" w:eastAsia="黑体"/>
          <w:color w:val="000000"/>
          <w:kern w:val="0"/>
          <w:sz w:val="32"/>
          <w:szCs w:val="32"/>
        </w:rPr>
      </w:pPr>
      <w:r>
        <w:rPr>
          <w:rFonts w:hint="eastAsia" w:ascii="黑体" w:hAnsi="宋体" w:eastAsia="黑体" w:cs="黑体"/>
          <w:color w:val="000000"/>
          <w:kern w:val="0"/>
          <w:sz w:val="32"/>
          <w:szCs w:val="32"/>
        </w:rPr>
        <w:t>招标要求</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spacing w:line="400" w:lineRule="exact"/>
        <w:ind w:firstLine="480" w:firstLineChars="200"/>
        <w:rPr>
          <w:rFonts w:hint="eastAsia"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项目名称：四川省妇幼保健院消防设施及系统维护保养服务</w:t>
      </w:r>
    </w:p>
    <w:p>
      <w:pPr>
        <w:spacing w:line="40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2.项目范围：四川省妇幼保健院医院本部 、四川省妇幼保健院抚琴院区</w:t>
      </w:r>
    </w:p>
    <w:p>
      <w:pPr>
        <w:spacing w:line="400" w:lineRule="exact"/>
        <w:ind w:firstLine="480" w:firstLineChars="200"/>
        <w:rPr>
          <w:rFonts w:hint="eastAsia" w:ascii="仿宋_GB2312" w:eastAsia="仿宋_GB2312" w:cs="仿宋_GB2312"/>
          <w:sz w:val="24"/>
          <w:szCs w:val="24"/>
        </w:rPr>
      </w:pPr>
      <w:r>
        <w:rPr>
          <w:rFonts w:hint="eastAsia" w:ascii="仿宋_GB2312" w:eastAsia="仿宋_GB2312" w:cs="仿宋_GB2312"/>
          <w:sz w:val="24"/>
          <w:szCs w:val="24"/>
        </w:rPr>
        <w:t>3</w:t>
      </w:r>
      <w:r>
        <w:rPr>
          <w:rFonts w:ascii="仿宋_GB2312" w:eastAsia="仿宋_GB2312" w:cs="仿宋_GB2312"/>
          <w:sz w:val="24"/>
          <w:szCs w:val="24"/>
        </w:rPr>
        <w:t>.</w:t>
      </w:r>
      <w:r>
        <w:rPr>
          <w:rFonts w:hint="eastAsia" w:ascii="仿宋_GB2312" w:eastAsia="仿宋_GB2312" w:cs="仿宋_GB2312"/>
          <w:sz w:val="24"/>
          <w:szCs w:val="24"/>
        </w:rPr>
        <w:t>项目位置：成都市武侯区沙堰西二街</w:t>
      </w:r>
      <w:r>
        <w:rPr>
          <w:rFonts w:ascii="仿宋_GB2312" w:eastAsia="仿宋_GB2312" w:cs="仿宋_GB2312"/>
          <w:sz w:val="24"/>
          <w:szCs w:val="24"/>
        </w:rPr>
        <w:t>290</w:t>
      </w:r>
      <w:r>
        <w:rPr>
          <w:rFonts w:hint="eastAsia" w:ascii="仿宋_GB2312" w:eastAsia="仿宋_GB2312" w:cs="仿宋_GB2312"/>
          <w:sz w:val="24"/>
          <w:szCs w:val="24"/>
        </w:rPr>
        <w:t>号、抚琴西路</w:t>
      </w:r>
      <w:r>
        <w:rPr>
          <w:rFonts w:ascii="仿宋_GB2312" w:eastAsia="仿宋_GB2312" w:cs="仿宋_GB2312"/>
          <w:sz w:val="24"/>
          <w:szCs w:val="24"/>
        </w:rPr>
        <w:t>338</w:t>
      </w:r>
      <w:r>
        <w:rPr>
          <w:rFonts w:hint="eastAsia" w:ascii="仿宋_GB2312" w:eastAsia="仿宋_GB2312" w:cs="仿宋_GB2312"/>
          <w:sz w:val="24"/>
          <w:szCs w:val="24"/>
        </w:rPr>
        <w:t>号</w:t>
      </w:r>
    </w:p>
    <w:p>
      <w:pPr>
        <w:spacing w:line="40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4.维保期限：本次招标维保期限3年，期满经考核合格，可续签。</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二、工作内容范围和要求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（一）工作内容范围</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门诊楼（</w:t>
      </w:r>
      <w:r>
        <w:rPr>
          <w:rFonts w:ascii="仿宋_GB2312" w:eastAsia="仿宋_GB2312" w:cs="仿宋_GB2312"/>
          <w:sz w:val="24"/>
          <w:szCs w:val="24"/>
        </w:rPr>
        <w:t>1</w:t>
      </w:r>
      <w:r>
        <w:rPr>
          <w:rFonts w:hint="eastAsia" w:ascii="仿宋_GB2312" w:eastAsia="仿宋_GB2312" w:cs="仿宋_GB2312"/>
          <w:sz w:val="24"/>
          <w:szCs w:val="24"/>
        </w:rPr>
        <w:t>号楼）建筑面积（</w:t>
      </w:r>
      <w:r>
        <w:rPr>
          <w:rFonts w:ascii="仿宋_GB2312" w:eastAsia="仿宋_GB2312" w:cs="仿宋_GB2312"/>
          <w:sz w:val="24"/>
          <w:szCs w:val="24"/>
        </w:rPr>
        <w:t>17967</w:t>
      </w:r>
      <w:r>
        <w:rPr>
          <w:rFonts w:hint="eastAsia" w:ascii="仿宋_GB2312" w:eastAsia="仿宋_GB2312" w:cs="仿宋_GB2312"/>
          <w:sz w:val="24"/>
          <w:szCs w:val="24"/>
        </w:rPr>
        <w:t>）平方米，地下</w:t>
      </w:r>
      <w:r>
        <w:rPr>
          <w:rFonts w:ascii="仿宋_GB2312" w:eastAsia="仿宋_GB2312" w:cs="仿宋_GB2312"/>
          <w:sz w:val="24"/>
          <w:szCs w:val="24"/>
        </w:rPr>
        <w:t>2</w:t>
      </w:r>
      <w:r>
        <w:rPr>
          <w:rFonts w:hint="eastAsia" w:ascii="仿宋_GB2312" w:eastAsia="仿宋_GB2312" w:cs="仿宋_GB2312"/>
          <w:sz w:val="24"/>
          <w:szCs w:val="24"/>
        </w:rPr>
        <w:t>层、地上</w:t>
      </w:r>
      <w:r>
        <w:rPr>
          <w:rFonts w:ascii="仿宋_GB2312" w:eastAsia="仿宋_GB2312" w:cs="仿宋_GB2312"/>
          <w:sz w:val="24"/>
          <w:szCs w:val="24"/>
        </w:rPr>
        <w:t>4</w:t>
      </w:r>
      <w:r>
        <w:rPr>
          <w:rFonts w:hint="eastAsia" w:ascii="仿宋_GB2312" w:eastAsia="仿宋_GB2312" w:cs="仿宋_GB2312"/>
          <w:sz w:val="24"/>
          <w:szCs w:val="24"/>
        </w:rPr>
        <w:t>层，</w:t>
      </w:r>
      <w:r>
        <w:rPr>
          <w:rFonts w:ascii="仿宋_GB2312" w:eastAsia="仿宋_GB2312" w:cs="仿宋_GB2312"/>
          <w:sz w:val="24"/>
          <w:szCs w:val="24"/>
        </w:rPr>
        <w:t>(</w:t>
      </w:r>
      <w:r>
        <w:rPr>
          <w:rFonts w:hint="eastAsia" w:ascii="仿宋_GB2312" w:eastAsia="仿宋_GB2312" w:cs="仿宋_GB2312"/>
          <w:sz w:val="24"/>
          <w:szCs w:val="24"/>
        </w:rPr>
        <w:t>消防控制室设在地上</w:t>
      </w:r>
      <w:r>
        <w:rPr>
          <w:rFonts w:ascii="仿宋_GB2312" w:eastAsia="仿宋_GB2312" w:cs="仿宋_GB2312"/>
          <w:sz w:val="24"/>
          <w:szCs w:val="24"/>
        </w:rPr>
        <w:t>1</w:t>
      </w:r>
      <w:r>
        <w:rPr>
          <w:rFonts w:hint="eastAsia" w:ascii="仿宋_GB2312" w:eastAsia="仿宋_GB2312" w:cs="仿宋_GB2312"/>
          <w:sz w:val="24"/>
          <w:szCs w:val="24"/>
        </w:rPr>
        <w:t>层与住院医技综合楼合用</w:t>
      </w:r>
      <w:r>
        <w:rPr>
          <w:rFonts w:ascii="仿宋_GB2312" w:eastAsia="仿宋_GB2312" w:cs="仿宋_GB2312"/>
          <w:sz w:val="24"/>
          <w:szCs w:val="24"/>
        </w:rPr>
        <w:t>)</w:t>
      </w:r>
      <w:r>
        <w:rPr>
          <w:rFonts w:hint="eastAsia" w:ascii="仿宋_GB2312" w:eastAsia="仿宋_GB2312" w:cs="仿宋_GB2312"/>
          <w:sz w:val="24"/>
          <w:szCs w:val="24"/>
        </w:rPr>
        <w:t>，（消防水泵房设在地下</w:t>
      </w:r>
      <w:r>
        <w:rPr>
          <w:rFonts w:ascii="仿宋_GB2312" w:eastAsia="仿宋_GB2312" w:cs="仿宋_GB2312"/>
          <w:sz w:val="24"/>
          <w:szCs w:val="24"/>
        </w:rPr>
        <w:t>2</w:t>
      </w:r>
      <w:r>
        <w:rPr>
          <w:rFonts w:hint="eastAsia" w:ascii="仿宋_GB2312" w:eastAsia="仿宋_GB2312" w:cs="仿宋_GB2312"/>
          <w:sz w:val="24"/>
          <w:szCs w:val="24"/>
        </w:rPr>
        <w:t>层与住院医技综合楼合用），共有</w:t>
      </w:r>
      <w:r>
        <w:rPr>
          <w:rFonts w:ascii="仿宋_GB2312" w:eastAsia="仿宋_GB2312" w:cs="仿宋_GB2312"/>
          <w:sz w:val="24"/>
          <w:szCs w:val="24"/>
        </w:rPr>
        <w:t>13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）消防联动控制系统（包括应急电源、门禁、消防电梯等联动控制）；</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）防火分隔：防火卷帘门、防火门及相关配件；</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）气体灭火系统；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）自动喷淋系统（含加压水泵</w:t>
      </w:r>
      <w:r>
        <w:rPr>
          <w:rFonts w:ascii="仿宋_GB2312" w:eastAsia="仿宋_GB2312" w:cs="仿宋_GB2312"/>
          <w:sz w:val="24"/>
          <w:szCs w:val="24"/>
        </w:rPr>
        <w:t>2</w:t>
      </w:r>
      <w:r>
        <w:rPr>
          <w:rFonts w:hint="eastAsia" w:ascii="仿宋_GB2312" w:eastAsia="仿宋_GB2312" w:cs="仿宋_GB2312"/>
          <w:sz w:val="24"/>
          <w:szCs w:val="24"/>
        </w:rPr>
        <w:t>台）；</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）室内外消火栓系统（含加压水泵</w:t>
      </w:r>
      <w:r>
        <w:rPr>
          <w:rFonts w:ascii="仿宋_GB2312" w:eastAsia="仿宋_GB2312" w:cs="仿宋_GB2312"/>
          <w:sz w:val="24"/>
          <w:szCs w:val="24"/>
        </w:rPr>
        <w:t>2</w:t>
      </w:r>
      <w:r>
        <w:rPr>
          <w:rFonts w:hint="eastAsia" w:ascii="仿宋_GB2312" w:eastAsia="仿宋_GB2312" w:cs="仿宋_GB2312"/>
          <w:sz w:val="24"/>
          <w:szCs w:val="24"/>
        </w:rPr>
        <w:t>台、室外消防车水泵接合器）；</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8</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9</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10</w:t>
      </w:r>
      <w:r>
        <w:rPr>
          <w:rFonts w:hint="eastAsia" w:ascii="仿宋_GB2312" w:eastAsia="仿宋_GB2312" w:cs="仿宋_GB2312"/>
          <w:sz w:val="24"/>
          <w:szCs w:val="24"/>
        </w:rPr>
        <w:t>）防排烟系统；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11</w:t>
      </w:r>
      <w:r>
        <w:rPr>
          <w:rFonts w:hint="eastAsia" w:ascii="仿宋_GB2312" w:eastAsia="仿宋_GB2312" w:cs="仿宋_GB2312"/>
          <w:sz w:val="24"/>
          <w:szCs w:val="24"/>
        </w:rPr>
        <w:t>）火灾探测系统；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）大空间泡沫灭火系统；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13</w:t>
      </w:r>
      <w:r>
        <w:rPr>
          <w:rFonts w:hint="eastAsia" w:ascii="仿宋_GB2312" w:eastAsia="仿宋_GB2312" w:cs="仿宋_GB2312"/>
          <w:sz w:val="24"/>
          <w:szCs w:val="24"/>
        </w:rPr>
        <w:t>）防火漏电自动报警系统。</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综合楼（</w:t>
      </w:r>
      <w:r>
        <w:rPr>
          <w:rFonts w:ascii="仿宋_GB2312" w:eastAsia="仿宋_GB2312" w:cs="仿宋_GB2312"/>
          <w:sz w:val="24"/>
          <w:szCs w:val="24"/>
        </w:rPr>
        <w:t>2</w:t>
      </w:r>
      <w:r>
        <w:rPr>
          <w:rFonts w:hint="eastAsia" w:ascii="仿宋_GB2312" w:eastAsia="仿宋_GB2312" w:cs="仿宋_GB2312"/>
          <w:sz w:val="24"/>
          <w:szCs w:val="24"/>
        </w:rPr>
        <w:t>号楼）建筑面积（</w:t>
      </w:r>
      <w:r>
        <w:rPr>
          <w:rFonts w:ascii="仿宋_GB2312" w:eastAsia="仿宋_GB2312" w:cs="仿宋_GB2312"/>
          <w:sz w:val="24"/>
          <w:szCs w:val="24"/>
        </w:rPr>
        <w:t>3049.2</w:t>
      </w:r>
      <w:r>
        <w:rPr>
          <w:rFonts w:hint="eastAsia" w:ascii="仿宋_GB2312" w:eastAsia="仿宋_GB2312" w:cs="仿宋_GB2312"/>
          <w:sz w:val="24"/>
          <w:szCs w:val="24"/>
        </w:rPr>
        <w:t>）平方米，地上</w:t>
      </w:r>
      <w:r>
        <w:rPr>
          <w:rFonts w:ascii="仿宋_GB2312" w:eastAsia="仿宋_GB2312" w:cs="仿宋_GB2312"/>
          <w:sz w:val="24"/>
          <w:szCs w:val="24"/>
        </w:rPr>
        <w:t>5</w:t>
      </w:r>
      <w:r>
        <w:rPr>
          <w:rFonts w:hint="eastAsia" w:ascii="仿宋_GB2312" w:eastAsia="仿宋_GB2312" w:cs="仿宋_GB2312"/>
          <w:sz w:val="24"/>
          <w:szCs w:val="24"/>
        </w:rPr>
        <w:t>层、共有</w:t>
      </w:r>
      <w:r>
        <w:rPr>
          <w:rFonts w:ascii="仿宋_GB2312" w:eastAsia="仿宋_GB2312" w:cs="仿宋_GB2312"/>
          <w:sz w:val="24"/>
          <w:szCs w:val="24"/>
        </w:rPr>
        <w:t>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）消火栓系统（消火栓系统供水由屋顶水箱及市政给水提供）</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新生疾病筛查楼（</w:t>
      </w:r>
      <w:r>
        <w:rPr>
          <w:rFonts w:ascii="仿宋_GB2312" w:eastAsia="仿宋_GB2312" w:cs="仿宋_GB2312"/>
          <w:sz w:val="24"/>
          <w:szCs w:val="24"/>
        </w:rPr>
        <w:t>3</w:t>
      </w:r>
      <w:r>
        <w:rPr>
          <w:rFonts w:hint="eastAsia" w:ascii="仿宋_GB2312" w:eastAsia="仿宋_GB2312" w:cs="仿宋_GB2312"/>
          <w:sz w:val="24"/>
          <w:szCs w:val="24"/>
        </w:rPr>
        <w:t>号楼）建筑面积（</w:t>
      </w:r>
      <w:r>
        <w:rPr>
          <w:rFonts w:ascii="仿宋_GB2312" w:eastAsia="仿宋_GB2312" w:cs="仿宋_GB2312"/>
          <w:sz w:val="24"/>
          <w:szCs w:val="24"/>
        </w:rPr>
        <w:t>1034.1</w:t>
      </w:r>
      <w:r>
        <w:rPr>
          <w:rFonts w:hint="eastAsia" w:ascii="仿宋_GB2312" w:eastAsia="仿宋_GB2312" w:cs="仿宋_GB2312"/>
          <w:sz w:val="24"/>
          <w:szCs w:val="24"/>
        </w:rPr>
        <w:t>）平方米，地上</w:t>
      </w:r>
      <w:r>
        <w:rPr>
          <w:rFonts w:ascii="仿宋_GB2312" w:eastAsia="仿宋_GB2312" w:cs="仿宋_GB2312"/>
          <w:sz w:val="24"/>
          <w:szCs w:val="24"/>
        </w:rPr>
        <w:t>3</w:t>
      </w:r>
      <w:r>
        <w:rPr>
          <w:rFonts w:hint="eastAsia" w:ascii="仿宋_GB2312" w:eastAsia="仿宋_GB2312" w:cs="仿宋_GB2312"/>
          <w:sz w:val="24"/>
          <w:szCs w:val="24"/>
        </w:rPr>
        <w:t>层、共有</w:t>
      </w:r>
      <w:r>
        <w:rPr>
          <w:rFonts w:ascii="仿宋_GB2312" w:eastAsia="仿宋_GB2312" w:cs="仿宋_GB2312"/>
          <w:sz w:val="24"/>
          <w:szCs w:val="24"/>
        </w:rPr>
        <w:t>3</w:t>
      </w:r>
      <w:r>
        <w:rPr>
          <w:rFonts w:hint="eastAsia" w:ascii="仿宋_GB2312" w:eastAsia="仿宋_GB2312" w:cs="仿宋_GB2312"/>
          <w:sz w:val="24"/>
          <w:szCs w:val="24"/>
        </w:rPr>
        <w:t>个系统</w:t>
      </w:r>
      <w:r>
        <w:rPr>
          <w:rFonts w:ascii="仿宋_GB2312" w:eastAsia="仿宋_GB2312" w:cs="仿宋_GB2312"/>
          <w:sz w:val="24"/>
          <w:szCs w:val="24"/>
        </w:rPr>
        <w:t xml:space="preserve"> :</w:t>
      </w:r>
    </w:p>
    <w:p>
      <w:pPr>
        <w:spacing w:line="40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）消火栓系统（消火栓系统供水由市政给水提供）</w:t>
      </w:r>
      <w:r>
        <w:rPr>
          <w:rFonts w:ascii="仿宋_GB2312" w:eastAsia="仿宋_GB2312" w:cs="仿宋_GB2312"/>
          <w:sz w:val="24"/>
          <w:szCs w:val="24"/>
        </w:rPr>
        <w:t>;</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产前诊诊断中心楼（</w:t>
      </w:r>
      <w:r>
        <w:rPr>
          <w:rFonts w:ascii="仿宋_GB2312" w:eastAsia="仿宋_GB2312" w:cs="仿宋_GB2312"/>
          <w:sz w:val="24"/>
          <w:szCs w:val="24"/>
        </w:rPr>
        <w:t>4</w:t>
      </w:r>
      <w:r>
        <w:rPr>
          <w:rFonts w:hint="eastAsia" w:ascii="仿宋_GB2312" w:eastAsia="仿宋_GB2312" w:cs="仿宋_GB2312"/>
          <w:sz w:val="24"/>
          <w:szCs w:val="24"/>
        </w:rPr>
        <w:t>号楼）建筑面积（</w:t>
      </w:r>
      <w:r>
        <w:rPr>
          <w:rFonts w:ascii="仿宋_GB2312" w:eastAsia="仿宋_GB2312" w:cs="仿宋_GB2312"/>
          <w:sz w:val="24"/>
          <w:szCs w:val="24"/>
        </w:rPr>
        <w:t>1960.9</w:t>
      </w:r>
      <w:r>
        <w:rPr>
          <w:rFonts w:hint="eastAsia" w:ascii="仿宋_GB2312" w:eastAsia="仿宋_GB2312" w:cs="仿宋_GB2312"/>
          <w:sz w:val="24"/>
          <w:szCs w:val="24"/>
        </w:rPr>
        <w:t>）平方米，地上</w:t>
      </w:r>
      <w:r>
        <w:rPr>
          <w:rFonts w:ascii="仿宋_GB2312" w:eastAsia="仿宋_GB2312" w:cs="仿宋_GB2312"/>
          <w:sz w:val="24"/>
          <w:szCs w:val="24"/>
        </w:rPr>
        <w:t>3</w:t>
      </w:r>
      <w:r>
        <w:rPr>
          <w:rFonts w:hint="eastAsia" w:ascii="仿宋_GB2312" w:eastAsia="仿宋_GB2312" w:cs="仿宋_GB2312"/>
          <w:sz w:val="24"/>
          <w:szCs w:val="24"/>
        </w:rPr>
        <w:t>层、共有</w:t>
      </w:r>
      <w:r>
        <w:rPr>
          <w:rFonts w:ascii="仿宋_GB2312" w:eastAsia="仿宋_GB2312" w:cs="仿宋_GB2312"/>
          <w:sz w:val="24"/>
          <w:szCs w:val="24"/>
        </w:rPr>
        <w:t>2</w:t>
      </w:r>
      <w:r>
        <w:rPr>
          <w:rFonts w:hint="eastAsia" w:ascii="仿宋_GB2312" w:eastAsia="仿宋_GB2312" w:cs="仿宋_GB2312"/>
          <w:sz w:val="24"/>
          <w:szCs w:val="24"/>
        </w:rPr>
        <w:t>个系统：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）消火栓系统（消火栓系统供水市政给水提供）；</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宋体"/>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600" w:firstLineChars="2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住院医技综合楼（</w:t>
      </w:r>
      <w:r>
        <w:rPr>
          <w:rFonts w:ascii="仿宋_GB2312" w:eastAsia="仿宋_GB2312" w:cs="仿宋_GB2312"/>
          <w:sz w:val="24"/>
          <w:szCs w:val="24"/>
        </w:rPr>
        <w:t>5</w:t>
      </w:r>
      <w:r>
        <w:rPr>
          <w:rFonts w:hint="eastAsia" w:ascii="仿宋_GB2312" w:eastAsia="仿宋_GB2312" w:cs="仿宋_GB2312"/>
          <w:sz w:val="24"/>
          <w:szCs w:val="24"/>
        </w:rPr>
        <w:t>号楼）建筑面积（</w:t>
      </w:r>
      <w:r>
        <w:rPr>
          <w:rFonts w:ascii="仿宋_GB2312" w:eastAsia="仿宋_GB2312" w:cs="仿宋_GB2312"/>
          <w:sz w:val="24"/>
          <w:szCs w:val="24"/>
        </w:rPr>
        <w:t>34330</w:t>
      </w:r>
      <w:r>
        <w:rPr>
          <w:rFonts w:hint="eastAsia" w:ascii="仿宋_GB2312" w:eastAsia="仿宋_GB2312" w:cs="仿宋_GB2312"/>
          <w:sz w:val="24"/>
          <w:szCs w:val="24"/>
        </w:rPr>
        <w:t>）平方米，地下</w:t>
      </w:r>
      <w:r>
        <w:rPr>
          <w:rFonts w:ascii="仿宋_GB2312" w:eastAsia="仿宋_GB2312" w:cs="仿宋_GB2312"/>
          <w:sz w:val="24"/>
          <w:szCs w:val="24"/>
        </w:rPr>
        <w:t>2</w:t>
      </w:r>
      <w:r>
        <w:rPr>
          <w:rFonts w:hint="eastAsia" w:ascii="仿宋_GB2312" w:eastAsia="仿宋_GB2312" w:cs="仿宋_GB2312"/>
          <w:sz w:val="24"/>
          <w:szCs w:val="24"/>
        </w:rPr>
        <w:t>层、地上</w:t>
      </w:r>
      <w:r>
        <w:rPr>
          <w:rFonts w:ascii="仿宋_GB2312" w:eastAsia="仿宋_GB2312" w:cs="仿宋_GB2312"/>
          <w:sz w:val="24"/>
          <w:szCs w:val="24"/>
        </w:rPr>
        <w:t>13</w:t>
      </w:r>
      <w:r>
        <w:rPr>
          <w:rFonts w:hint="eastAsia" w:ascii="仿宋_GB2312" w:eastAsia="仿宋_GB2312" w:cs="仿宋_GB2312"/>
          <w:sz w:val="24"/>
          <w:szCs w:val="24"/>
        </w:rPr>
        <w:t>层，共有</w:t>
      </w:r>
      <w:r>
        <w:rPr>
          <w:rFonts w:ascii="仿宋_GB2312" w:eastAsia="仿宋_GB2312" w:cs="仿宋_GB2312"/>
          <w:sz w:val="24"/>
          <w:szCs w:val="24"/>
        </w:rPr>
        <w:t>13</w:t>
      </w:r>
      <w:r>
        <w:rPr>
          <w:rFonts w:hint="eastAsia" w:ascii="仿宋_GB2312" w:eastAsia="仿宋_GB2312" w:cs="仿宋_GB2312"/>
          <w:sz w:val="24"/>
          <w:szCs w:val="24"/>
        </w:rPr>
        <w:t>个系统</w:t>
      </w:r>
      <w:r>
        <w:rPr>
          <w:rFonts w:ascii="仿宋_GB2312" w:eastAsia="仿宋_GB2312" w:cs="仿宋_GB2312"/>
          <w:sz w:val="24"/>
          <w:szCs w:val="24"/>
        </w:rPr>
        <w:t>:</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）消防联动控制系统（包括应急电源、门禁、消防电梯等联动控制）；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）自动喷淋系统（含增压稳压系统安装于屋顶）；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）气体灭火系统；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）防火分隔：防火卷帘门、防火门及相关配件；</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）室内外消火栓系统（含增压稳压系统安装于屋顶、室外消防车水泵接合器）；</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8</w:t>
      </w:r>
      <w:r>
        <w:rPr>
          <w:rFonts w:hint="eastAsia" w:ascii="仿宋_GB2312" w:eastAsia="仿宋_GB2312" w:cs="仿宋_GB2312"/>
          <w:sz w:val="24"/>
          <w:szCs w:val="24"/>
        </w:rPr>
        <w:t>）应急照明系统；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9</w:t>
      </w:r>
      <w:r>
        <w:rPr>
          <w:rFonts w:hint="eastAsia" w:ascii="仿宋_GB2312" w:eastAsia="仿宋_GB2312" w:cs="仿宋_GB2312"/>
          <w:sz w:val="24"/>
          <w:szCs w:val="24"/>
        </w:rPr>
        <w:t>）应急疏散指示系统。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10</w:t>
      </w:r>
      <w:r>
        <w:rPr>
          <w:rFonts w:hint="eastAsia" w:ascii="仿宋_GB2312" w:eastAsia="仿宋_GB2312" w:cs="仿宋_GB2312"/>
          <w:sz w:val="24"/>
          <w:szCs w:val="24"/>
        </w:rPr>
        <w:t>）防排烟系统；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11</w:t>
      </w:r>
      <w:r>
        <w:rPr>
          <w:rFonts w:hint="eastAsia" w:ascii="仿宋_GB2312" w:eastAsia="仿宋_GB2312" w:cs="仿宋_GB2312"/>
          <w:sz w:val="24"/>
          <w:szCs w:val="24"/>
        </w:rPr>
        <w:t>）火灾探测系统；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）防火漏电自动报警系统；</w:t>
      </w:r>
    </w:p>
    <w:p>
      <w:pPr>
        <w:spacing w:line="400" w:lineRule="exact"/>
        <w:ind w:firstLine="600" w:firstLineChars="25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13</w:t>
      </w:r>
      <w:r>
        <w:rPr>
          <w:rFonts w:hint="eastAsia" w:ascii="仿宋_GB2312" w:eastAsia="仿宋_GB2312" w:cs="仿宋_GB2312"/>
          <w:sz w:val="24"/>
          <w:szCs w:val="24"/>
        </w:rPr>
        <w:t>）可燃气体探测报警系统。</w:t>
      </w:r>
    </w:p>
    <w:p>
      <w:pPr>
        <w:spacing w:line="400" w:lineRule="exact"/>
        <w:ind w:firstLine="600" w:firstLineChars="25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抚琴院区业务楼建筑面积（</w:t>
      </w:r>
      <w:r>
        <w:rPr>
          <w:rFonts w:ascii="仿宋_GB2312" w:eastAsia="仿宋_GB2312" w:cs="仿宋_GB2312"/>
          <w:sz w:val="24"/>
          <w:szCs w:val="24"/>
        </w:rPr>
        <w:t>4246</w:t>
      </w:r>
      <w:r>
        <w:rPr>
          <w:rFonts w:hint="eastAsia" w:ascii="仿宋_GB2312" w:eastAsia="仿宋_GB2312" w:cs="仿宋_GB2312"/>
          <w:sz w:val="24"/>
          <w:szCs w:val="24"/>
        </w:rPr>
        <w:t>）平方米</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）消火栓系统（消火栓系统供水市政给水提供）；</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）应急照明系统；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）应急疏散指示系统。</w:t>
      </w:r>
    </w:p>
    <w:p>
      <w:pPr>
        <w:spacing w:line="400" w:lineRule="exact"/>
        <w:ind w:firstLine="480" w:firstLineChars="200"/>
        <w:rPr>
          <w:rFonts w:ascii="仿宋_GB2312" w:eastAsia="仿宋_GB2312"/>
          <w:sz w:val="24"/>
          <w:szCs w:val="24"/>
        </w:rPr>
      </w:pPr>
      <w:r>
        <w:rPr>
          <w:rFonts w:hint="eastAsia" w:ascii="仿宋_GB2312" w:eastAsia="仿宋_GB2312" w:cs="仿宋_GB2312"/>
          <w:sz w:val="24"/>
          <w:szCs w:val="24"/>
        </w:rPr>
        <w:t>（二）服务具体要求</w:t>
      </w:r>
    </w:p>
    <w:p>
      <w:pPr>
        <w:spacing w:line="400" w:lineRule="exact"/>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消防联动控制主机</w:t>
      </w:r>
    </w:p>
    <w:tbl>
      <w:tblPr>
        <w:tblStyle w:val="7"/>
        <w:tblW w:w="8517" w:type="dxa"/>
        <w:tblInd w:w="-106" w:type="dxa"/>
        <w:tblLayout w:type="fixed"/>
        <w:tblCellMar>
          <w:top w:w="0" w:type="dxa"/>
          <w:left w:w="108" w:type="dxa"/>
          <w:bottom w:w="0" w:type="dxa"/>
          <w:right w:w="108" w:type="dxa"/>
        </w:tblCellMar>
      </w:tblPr>
      <w:tblGrid>
        <w:gridCol w:w="721"/>
        <w:gridCol w:w="427"/>
        <w:gridCol w:w="1274"/>
        <w:gridCol w:w="4678"/>
        <w:gridCol w:w="1417"/>
      </w:tblGrid>
      <w:tr>
        <w:tblPrEx>
          <w:tblLayout w:type="fixed"/>
          <w:tblCellMar>
            <w:top w:w="0" w:type="dxa"/>
            <w:left w:w="108" w:type="dxa"/>
            <w:bottom w:w="0" w:type="dxa"/>
            <w:right w:w="108" w:type="dxa"/>
          </w:tblCellMar>
        </w:tblPrEx>
        <w:trPr>
          <w:trHeight w:val="495" w:hRule="atLeast"/>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4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46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405" w:hRule="atLeast"/>
        </w:trPr>
        <w:tc>
          <w:tcPr>
            <w:tcW w:w="72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消防联动控制主机</w:t>
            </w:r>
          </w:p>
        </w:tc>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27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控制主机外观检查</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查看消防控制主机面板所有模块的铭牌及标识是否明显，清晰</w:t>
            </w:r>
          </w:p>
        </w:tc>
        <w:tc>
          <w:tcPr>
            <w:tcW w:w="141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每月全部检查</w:t>
            </w:r>
            <w:r>
              <w:rPr>
                <w:rFonts w:ascii="仿宋_GB2312" w:hAnsi="宋体" w:eastAsia="仿宋_GB2312"/>
                <w:color w:val="000000"/>
                <w:kern w:val="0"/>
              </w:rPr>
              <w:br w:type="textWrapping"/>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tc>
      </w:tr>
      <w:tr>
        <w:tblPrEx>
          <w:tblLayout w:type="fixed"/>
          <w:tblCellMar>
            <w:top w:w="0" w:type="dxa"/>
            <w:left w:w="108" w:type="dxa"/>
            <w:bottom w:w="0" w:type="dxa"/>
            <w:right w:w="108" w:type="dxa"/>
          </w:tblCellMar>
        </w:tblPrEx>
        <w:trPr>
          <w:trHeight w:val="55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查看消防控制主机面板所有模块的标识是否清晰或有无脱落，其仪表、指示灯、开关、控制按钮等是否正常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使用专业工具对消防控制主机柜体内部进行吹扫，保持机柜内部清洁卫生</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4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控制器的接地</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检查控制器有工作接地线及</w:t>
            </w:r>
            <w:r>
              <w:rPr>
                <w:rFonts w:ascii="仿宋_GB2312" w:hAnsi="宋体" w:eastAsia="仿宋_GB2312" w:cs="仿宋_GB2312"/>
                <w:color w:val="000000"/>
                <w:kern w:val="0"/>
              </w:rPr>
              <w:t>RE</w:t>
            </w:r>
            <w:r>
              <w:rPr>
                <w:rFonts w:hint="eastAsia" w:ascii="仿宋_GB2312" w:hAnsi="宋体" w:eastAsia="仿宋_GB2312" w:cs="仿宋_GB2312"/>
                <w:color w:val="000000"/>
                <w:kern w:val="0"/>
              </w:rPr>
              <w:t>线接地保护</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控制器的电源</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控制主机有消防专用电源、并使用专用蓄电池供电；控制主机直连消防电源，严禁使用插头相连</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27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备用电源自动充电功能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主电源恢复，备电自动切除，浮充、等待备用</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应急电源充、放电试验</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8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报警音响</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color w:val="000000"/>
                <w:kern w:val="0"/>
              </w:rPr>
            </w:pPr>
            <w:r>
              <w:rPr>
                <w:rFonts w:hint="eastAsia" w:ascii="仿宋_GB2312" w:hAnsi="宋体" w:eastAsia="仿宋_GB2312" w:cs="仿宋_GB2312"/>
                <w:color w:val="000000"/>
                <w:kern w:val="0"/>
              </w:rPr>
              <w:t>额定电压下，距器件中心</w:t>
            </w:r>
            <w:r>
              <w:rPr>
                <w:rFonts w:ascii="仿宋_GB2312" w:hAnsi="宋体" w:eastAsia="仿宋_GB2312" w:cs="仿宋_GB2312"/>
                <w:color w:val="000000"/>
                <w:kern w:val="0"/>
              </w:rPr>
              <w:t>1m</w:t>
            </w:r>
            <w:r>
              <w:rPr>
                <w:rFonts w:hint="eastAsia" w:ascii="仿宋_GB2312" w:hAnsi="宋体" w:eastAsia="仿宋_GB2312" w:cs="仿宋_GB2312"/>
                <w:color w:val="000000"/>
                <w:kern w:val="0"/>
              </w:rPr>
              <w:t>处，声压级应在</w:t>
            </w:r>
            <w:r>
              <w:rPr>
                <w:rFonts w:ascii="仿宋_GB2312" w:hAnsi="宋体" w:eastAsia="仿宋_GB2312" w:cs="仿宋_GB2312"/>
                <w:color w:val="000000"/>
                <w:kern w:val="0"/>
              </w:rPr>
              <w:t>85dB-115dB</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rPr>
            </w:pPr>
          </w:p>
        </w:tc>
      </w:tr>
      <w:tr>
        <w:tblPrEx>
          <w:tblLayout w:type="fixed"/>
          <w:tblCellMar>
            <w:top w:w="0" w:type="dxa"/>
            <w:left w:w="108" w:type="dxa"/>
            <w:bottom w:w="0" w:type="dxa"/>
            <w:right w:w="108" w:type="dxa"/>
          </w:tblCellMar>
        </w:tblPrEx>
        <w:trPr>
          <w:trHeight w:val="57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气体灭火控制器</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检测气体灭火控制器开关是否处于自动状态下，指示灯所显示的状态是否正常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8</w:t>
            </w:r>
          </w:p>
        </w:tc>
        <w:tc>
          <w:tcPr>
            <w:tcW w:w="5952"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检查控制主机的以下基本功能是否正常</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报警功能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测试当接到火灾信号时，是否发出声光报警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自检功能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可自检，ＣＰＵ诊断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火灾优先功能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检测与故障同时报警时，火警是否优先</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记忆功能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查阅火警时间记录</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e.</w:t>
            </w:r>
            <w:r>
              <w:rPr>
                <w:rFonts w:hint="eastAsia" w:ascii="仿宋_GB2312" w:hAnsi="宋体" w:eastAsia="仿宋_GB2312" w:cs="仿宋_GB2312"/>
                <w:color w:val="000000"/>
                <w:kern w:val="0"/>
              </w:rPr>
              <w:t>消音、复位功能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火警状态时可手动消除信号并复位</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f.</w:t>
            </w:r>
            <w:r>
              <w:rPr>
                <w:rFonts w:hint="eastAsia" w:ascii="仿宋_GB2312" w:hAnsi="宋体" w:eastAsia="仿宋_GB2312" w:cs="仿宋_GB2312"/>
                <w:color w:val="000000"/>
                <w:kern w:val="0"/>
              </w:rPr>
              <w:t>电源转换功能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检测主电源切断，备用电源能否自动投入运行</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g.</w:t>
            </w:r>
            <w:r>
              <w:rPr>
                <w:rFonts w:hint="eastAsia" w:ascii="仿宋_GB2312" w:hAnsi="宋体" w:eastAsia="仿宋_GB2312" w:cs="仿宋_GB2312"/>
                <w:color w:val="000000"/>
                <w:kern w:val="0"/>
              </w:rPr>
              <w:t>电源指示功能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主、备电源转换时，指示灯是否正确</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9</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控制主机的打印机</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确认打印机可正常打印，打印纸充足</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控制主机的报警信息</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查看消防主机有无故障信息（当有报警信息时在</w:t>
            </w:r>
            <w:r>
              <w:rPr>
                <w:rFonts w:ascii="仿宋_GB2312" w:hAnsi="宋体" w:eastAsia="仿宋_GB2312" w:cs="仿宋_GB2312"/>
                <w:color w:val="000000"/>
                <w:kern w:val="0"/>
              </w:rPr>
              <w:t>48</w:t>
            </w:r>
            <w:r>
              <w:rPr>
                <w:rFonts w:hint="eastAsia" w:ascii="仿宋_GB2312" w:hAnsi="宋体" w:eastAsia="仿宋_GB2312" w:cs="仿宋_GB2312"/>
                <w:color w:val="000000"/>
                <w:kern w:val="0"/>
              </w:rPr>
              <w:t>小时给予修复）</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消防电梯的联动功能</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检测消防电梯的紧急迫降功能</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12</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门禁系统消防联动控制</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测试在消防强切状态下，门禁的电磁锁是否失电打开</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13</w:t>
            </w:r>
          </w:p>
        </w:tc>
        <w:tc>
          <w:tcPr>
            <w:tcW w:w="127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消防水池液位显示</w:t>
            </w:r>
          </w:p>
        </w:tc>
        <w:tc>
          <w:tcPr>
            <w:tcW w:w="4678"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记录消防水池液位显示，并实地查看消防水池的液位与显示数位是否一致</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自动喷淋系统（含增压稳压系统安装于屋顶）</w:t>
      </w:r>
    </w:p>
    <w:tbl>
      <w:tblPr>
        <w:tblStyle w:val="7"/>
        <w:tblW w:w="8516" w:type="dxa"/>
        <w:tblInd w:w="-106" w:type="dxa"/>
        <w:tblLayout w:type="fixed"/>
        <w:tblCellMar>
          <w:top w:w="0" w:type="dxa"/>
          <w:left w:w="108" w:type="dxa"/>
          <w:bottom w:w="0" w:type="dxa"/>
          <w:right w:w="108" w:type="dxa"/>
        </w:tblCellMar>
      </w:tblPr>
      <w:tblGrid>
        <w:gridCol w:w="1000"/>
        <w:gridCol w:w="520"/>
        <w:gridCol w:w="1840"/>
        <w:gridCol w:w="3739"/>
        <w:gridCol w:w="1417"/>
      </w:tblGrid>
      <w:tr>
        <w:tblPrEx>
          <w:tblLayout w:type="fixed"/>
          <w:tblCellMar>
            <w:top w:w="0" w:type="dxa"/>
            <w:left w:w="108" w:type="dxa"/>
            <w:bottom w:w="0" w:type="dxa"/>
            <w:right w:w="108" w:type="dxa"/>
          </w:tblCellMar>
        </w:tblPrEx>
        <w:trPr>
          <w:trHeight w:val="555"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7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70" w:hRule="atLeast"/>
        </w:trPr>
        <w:tc>
          <w:tcPr>
            <w:tcW w:w="10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自动喷淋系统（含水泵房加压水泵</w:t>
            </w:r>
            <w:r>
              <w:rPr>
                <w:rFonts w:ascii="仿宋_GB2312" w:hAnsi="宋体" w:eastAsia="仿宋_GB2312" w:cs="仿宋_GB2312"/>
                <w:color w:val="000000"/>
                <w:kern w:val="0"/>
              </w:rPr>
              <w:t>2</w:t>
            </w:r>
            <w:r>
              <w:rPr>
                <w:rFonts w:hint="eastAsia" w:ascii="仿宋_GB2312" w:hAnsi="宋体" w:eastAsia="仿宋_GB2312" w:cs="仿宋_GB2312"/>
                <w:color w:val="000000"/>
                <w:kern w:val="0"/>
              </w:rPr>
              <w:t>台，以及</w:t>
            </w:r>
            <w:r>
              <w:rPr>
                <w:rFonts w:ascii="仿宋_GB2312" w:hAnsi="宋体" w:eastAsia="仿宋_GB2312" w:cs="仿宋_GB2312"/>
                <w:color w:val="000000"/>
                <w:kern w:val="0"/>
              </w:rPr>
              <w:t>5</w:t>
            </w:r>
            <w:r>
              <w:rPr>
                <w:rFonts w:hint="eastAsia" w:ascii="仿宋_GB2312" w:hAnsi="宋体" w:eastAsia="仿宋_GB2312" w:cs="仿宋_GB2312"/>
                <w:color w:val="000000"/>
                <w:kern w:val="0"/>
              </w:rPr>
              <w:t>号楼屋顶的增压稳压系统）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系统管网</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喷淋头按一年完成全覆盖的要求进行区域抽查。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1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末端试水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每月对喷淋泵进行末端试水测试，记录开始放水到喷淋泵启动的时间；测试水流开关报警和控制中心的各种报警功能</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5579"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湿式报警阀组</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外观</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组装正确、完整、无渗漏，配件功能完好</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供水总控制阀开、关状态</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总控制阀开、关状态灵活可靠、标志明显</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c. </w:t>
            </w:r>
            <w:r>
              <w:rPr>
                <w:rFonts w:hint="eastAsia" w:ascii="仿宋_GB2312" w:hAnsi="宋体" w:eastAsia="仿宋_GB2312" w:cs="仿宋_GB2312"/>
                <w:color w:val="000000"/>
                <w:kern w:val="0"/>
              </w:rPr>
              <w:t>报警阀组功能试验</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在伺应状态，延迟器无出水</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阀启动，</w:t>
            </w:r>
            <w:r>
              <w:rPr>
                <w:rFonts w:ascii="仿宋_GB2312" w:hAnsi="宋体" w:eastAsia="仿宋_GB2312" w:cs="仿宋_GB2312"/>
                <w:color w:val="000000"/>
                <w:kern w:val="0"/>
              </w:rPr>
              <w:t>5-90s</w:t>
            </w:r>
            <w:r>
              <w:rPr>
                <w:rFonts w:hint="eastAsia" w:ascii="仿宋_GB2312" w:hAnsi="宋体" w:eastAsia="仿宋_GB2312" w:cs="仿宋_GB2312"/>
                <w:color w:val="000000"/>
                <w:kern w:val="0"/>
              </w:rPr>
              <w:t>内开始连续报警，压力开关在消控中心报警，信号显示，泵自动启动</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使用数字声级计测量并记录警铃的分贝值</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警铃停，压力开关复位，延迟器自动排水，时间≯</w:t>
            </w:r>
            <w:r>
              <w:rPr>
                <w:rFonts w:ascii="仿宋_GB2312" w:hAnsi="宋体" w:eastAsia="仿宋_GB2312" w:cs="仿宋_GB2312"/>
                <w:color w:val="000000"/>
                <w:kern w:val="0"/>
              </w:rPr>
              <w:t>5min</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在无实验状态下延时器下端无漏水现象</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动作灵活（当延时器有水流出时能发出铃声）</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测试实施报警阀的排水口，如泵不能正常启动且压力很快下降到</w:t>
            </w:r>
            <w:r>
              <w:rPr>
                <w:rFonts w:ascii="仿宋_GB2312" w:hAnsi="宋体" w:eastAsia="仿宋_GB2312" w:cs="仿宋_GB2312"/>
                <w:color w:val="000000"/>
                <w:kern w:val="0"/>
              </w:rPr>
              <w:t>0</w:t>
            </w:r>
            <w:r>
              <w:rPr>
                <w:rFonts w:hint="eastAsia" w:ascii="仿宋_GB2312" w:hAnsi="宋体" w:eastAsia="仿宋_GB2312" w:cs="仿宋_GB2312"/>
                <w:color w:val="000000"/>
                <w:kern w:val="0"/>
              </w:rPr>
              <w:t>说明可能有控制阀被关</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测试实施报警阀的排水口，如泵不能正常启动且压力很快下降到</w:t>
            </w:r>
            <w:r>
              <w:rPr>
                <w:rFonts w:ascii="仿宋_GB2312" w:hAnsi="宋体" w:eastAsia="仿宋_GB2312" w:cs="仿宋_GB2312"/>
                <w:color w:val="000000"/>
                <w:kern w:val="0"/>
              </w:rPr>
              <w:t>0</w:t>
            </w:r>
            <w:r>
              <w:rPr>
                <w:rFonts w:hint="eastAsia" w:ascii="仿宋_GB2312" w:hAnsi="宋体" w:eastAsia="仿宋_GB2312" w:cs="仿宋_GB2312"/>
                <w:color w:val="000000"/>
                <w:kern w:val="0"/>
              </w:rPr>
              <w:t>说明可能有控制阀被关</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喷淋水泵</w:t>
            </w:r>
            <w:r>
              <w:rPr>
                <w:rFonts w:ascii="仿宋_GB2312" w:hAnsi="宋体" w:eastAsia="仿宋_GB2312" w:cs="仿宋_GB2312"/>
                <w:color w:val="000000"/>
                <w:kern w:val="0"/>
              </w:rPr>
              <w:t>(</w:t>
            </w:r>
            <w:r>
              <w:rPr>
                <w:rFonts w:hint="eastAsia" w:ascii="仿宋_GB2312" w:hAnsi="宋体" w:eastAsia="仿宋_GB2312" w:cs="仿宋_GB2312"/>
                <w:color w:val="000000"/>
                <w:kern w:val="0"/>
              </w:rPr>
              <w:t>一备一用）</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外观检查：检查水泵有无变形、掉漆、有无渗漏</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分别启动测试主、备用水泵运转，确保手动、自动均能正常启动水泵</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每月对阀杆加注润滑油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在水泵房的控制柜内启动水泵、消防控制室启动水泵，查看能否运行及反馈信号</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检查水泵能否正常运转，流量和压力能否保证；</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检查主、备泵能否自动切换</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启动水泵后、打开试验阀，观察压力保持情况</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每月对喷淋水泵检修、保养一次，添加润滑油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84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增压稳压系统</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外观检查：检查水泵、罐体有无变形、掉漆</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每月对水泵检修、保养一次，添加润滑油</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检查稳压泵是否能够自动加压</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检测稳压泵的启动频率，确保启动频率正常</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打开试验排水阀，检查减水时能否自动供水、加压装置及供水装置压力表是否显示正常</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大空间智能喷头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喷淋头</w:t>
            </w:r>
          </w:p>
        </w:tc>
        <w:tc>
          <w:tcPr>
            <w:tcW w:w="373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抽查喷淋头外观有无损坏、锈蚀、漏水等现象（喷淋头每月按照一年完成全覆盖的要求进行区域抽查）。</w:t>
            </w: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气体灭火系统</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827"/>
        <w:gridCol w:w="1701"/>
      </w:tblGrid>
      <w:tr>
        <w:tblPrEx>
          <w:tblLayout w:type="fixed"/>
          <w:tblCellMar>
            <w:top w:w="0" w:type="dxa"/>
            <w:left w:w="108" w:type="dxa"/>
            <w:bottom w:w="0" w:type="dxa"/>
            <w:right w:w="108" w:type="dxa"/>
          </w:tblCellMar>
        </w:tblPrEx>
        <w:trPr>
          <w:trHeight w:val="36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73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气体灭火系统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探测器</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对探测器进行模拟火灾响应试验和故障报警试验。每月测试控制器的性能，核对探测器安装位置和联动关系的准确性。</w:t>
            </w:r>
            <w:r>
              <w:rPr>
                <w:rFonts w:ascii="宋体" w:hAnsi="宋体" w:eastAsia="仿宋_GB2312"/>
                <w:color w:val="000000"/>
                <w:kern w:val="0"/>
              </w:rPr>
              <w:t> </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排气体钢瓶</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每月检查气体钢瓶的外观、线路连接状况是否正常。</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12"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电动阀</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每月测试电动阀的启闭性能。</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灭火存储器</w:t>
            </w:r>
          </w:p>
        </w:tc>
        <w:tc>
          <w:tcPr>
            <w:tcW w:w="3827"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查看灭火存储器压力表，压力是否在正常范围内，检测灭火存储器压力不应小于设计压力的</w:t>
            </w:r>
            <w:r>
              <w:rPr>
                <w:rFonts w:ascii="仿宋_GB2312" w:hAnsi="宋体" w:eastAsia="仿宋_GB2312" w:cs="仿宋_GB2312"/>
                <w:color w:val="000000"/>
                <w:kern w:val="0"/>
              </w:rPr>
              <w:t>90%</w:t>
            </w:r>
            <w:r>
              <w:rPr>
                <w:rFonts w:hint="eastAsia" w:ascii="仿宋_GB2312" w:hAnsi="宋体" w:eastAsia="仿宋_GB2312" w:cs="仿宋_GB2312"/>
                <w:color w:val="000000"/>
                <w:kern w:val="0"/>
              </w:rPr>
              <w:t>。</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防火分隔：防火卷帘门、防火门及相关配件</w:t>
      </w:r>
    </w:p>
    <w:tbl>
      <w:tblPr>
        <w:tblStyle w:val="7"/>
        <w:tblW w:w="8434" w:type="dxa"/>
        <w:tblInd w:w="-106" w:type="dxa"/>
        <w:tblLayout w:type="fixed"/>
        <w:tblCellMar>
          <w:top w:w="0" w:type="dxa"/>
          <w:left w:w="108" w:type="dxa"/>
          <w:bottom w:w="0" w:type="dxa"/>
          <w:right w:w="108" w:type="dxa"/>
        </w:tblCellMar>
      </w:tblPr>
      <w:tblGrid>
        <w:gridCol w:w="849"/>
        <w:gridCol w:w="699"/>
        <w:gridCol w:w="1389"/>
        <w:gridCol w:w="2756"/>
        <w:gridCol w:w="2741"/>
      </w:tblGrid>
      <w:tr>
        <w:tblPrEx>
          <w:tblLayout w:type="fixed"/>
          <w:tblCellMar>
            <w:top w:w="0" w:type="dxa"/>
            <w:left w:w="108" w:type="dxa"/>
            <w:bottom w:w="0" w:type="dxa"/>
            <w:right w:w="108" w:type="dxa"/>
          </w:tblCellMar>
        </w:tblPrEx>
        <w:trPr>
          <w:trHeight w:val="797" w:hRule="atLeast"/>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维保项目</w:t>
            </w:r>
          </w:p>
        </w:tc>
        <w:tc>
          <w:tcPr>
            <w:tcW w:w="6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序号</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维保内容</w:t>
            </w:r>
          </w:p>
        </w:tc>
        <w:tc>
          <w:tcPr>
            <w:tcW w:w="27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000000"/>
              </w:rPr>
            </w:pPr>
            <w:r>
              <w:rPr>
                <w:rFonts w:hint="eastAsia" w:ascii="仿宋_GB2312" w:eastAsia="仿宋_GB2312" w:cs="仿宋_GB2312"/>
                <w:b/>
                <w:bCs/>
                <w:color w:val="000000"/>
              </w:rPr>
              <w:t>检查要点</w:t>
            </w:r>
          </w:p>
        </w:tc>
        <w:tc>
          <w:tcPr>
            <w:tcW w:w="274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rPr>
            </w:pPr>
            <w:r>
              <w:rPr>
                <w:rFonts w:hint="eastAsia" w:ascii="仿宋_GB2312" w:eastAsia="仿宋_GB2312" w:cs="仿宋_GB2312"/>
                <w:b/>
                <w:bCs/>
                <w:color w:val="000000"/>
              </w:rPr>
              <w:t>维保周期与要求</w:t>
            </w:r>
          </w:p>
        </w:tc>
      </w:tr>
      <w:tr>
        <w:tblPrEx>
          <w:tblLayout w:type="fixed"/>
          <w:tblCellMar>
            <w:top w:w="0" w:type="dxa"/>
            <w:left w:w="108" w:type="dxa"/>
            <w:bottom w:w="0" w:type="dxa"/>
            <w:right w:w="108" w:type="dxa"/>
          </w:tblCellMar>
        </w:tblPrEx>
        <w:trPr>
          <w:trHeight w:val="709" w:hRule="atLeast"/>
        </w:trPr>
        <w:tc>
          <w:tcPr>
            <w:tcW w:w="84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防火分隔设施</w:t>
            </w:r>
          </w:p>
        </w:tc>
        <w:tc>
          <w:tcPr>
            <w:tcW w:w="69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1</w:t>
            </w:r>
          </w:p>
        </w:tc>
        <w:tc>
          <w:tcPr>
            <w:tcW w:w="4145" w:type="dxa"/>
            <w:gridSpan w:val="2"/>
            <w:tcBorders>
              <w:top w:val="single" w:color="auto" w:sz="4" w:space="0"/>
              <w:left w:val="nil"/>
              <w:bottom w:val="single" w:color="auto" w:sz="4" w:space="0"/>
              <w:right w:val="single" w:color="auto" w:sz="4" w:space="0"/>
            </w:tcBorders>
            <w:vAlign w:val="center"/>
          </w:tcPr>
          <w:p>
            <w:pPr>
              <w:jc w:val="left"/>
              <w:rPr>
                <w:rFonts w:ascii="仿宋_GB2312" w:hAnsi="宋体" w:eastAsia="仿宋_GB2312"/>
                <w:color w:val="000000"/>
                <w:kern w:val="0"/>
              </w:rPr>
            </w:pPr>
            <w:r>
              <w:rPr>
                <w:rFonts w:hint="eastAsia" w:ascii="仿宋_GB2312" w:eastAsia="仿宋_GB2312" w:cs="仿宋_GB2312"/>
                <w:color w:val="000000"/>
              </w:rPr>
              <w:t>防火卷帘门（防火卷帘门每月按照一季度完成全覆盖进行区域抽查）</w:t>
            </w:r>
          </w:p>
        </w:tc>
        <w:tc>
          <w:tcPr>
            <w:tcW w:w="2741" w:type="dxa"/>
            <w:vMerge w:val="restart"/>
            <w:tcBorders>
              <w:top w:val="single" w:color="auto" w:sz="4" w:space="0"/>
              <w:left w:val="nil"/>
              <w:right w:val="single" w:color="auto" w:sz="4" w:space="0"/>
            </w:tcBorders>
          </w:tcPr>
          <w:p>
            <w:pPr>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p>
          <w:p>
            <w:pPr>
              <w:jc w:val="left"/>
              <w:rPr>
                <w:rFonts w:ascii="仿宋_GB2312" w:eastAsia="仿宋_GB2312"/>
                <w:color w:val="000000"/>
              </w:rPr>
            </w:pPr>
            <w:r>
              <w:rPr>
                <w:rFonts w:ascii="仿宋_GB2312" w:hAnsi="宋体" w:eastAsia="仿宋_GB2312" w:cs="仿宋_GB2312"/>
                <w:color w:val="000000"/>
                <w:kern w:val="0"/>
              </w:rPr>
              <w:t>3.</w:t>
            </w:r>
            <w:r>
              <w:rPr>
                <w:rFonts w:hint="eastAsia" w:ascii="仿宋_GB2312" w:hAnsi="宋体" w:eastAsia="仿宋_GB2312" w:cs="仿宋_GB2312"/>
                <w:color w:val="000000"/>
                <w:kern w:val="0"/>
              </w:rPr>
              <w:t>防火门及相关配件按一年完成全覆盖的要求进行区域抽查。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79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a.</w:t>
            </w:r>
            <w:r>
              <w:rPr>
                <w:rFonts w:hint="eastAsia" w:ascii="仿宋_GB2312" w:eastAsia="仿宋_GB2312" w:cs="仿宋_GB2312"/>
                <w:color w:val="000000"/>
              </w:rPr>
              <w:t>外观质量</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查看门外观有无变形、表面有无损坏，清理防火卷帘门表面灰尘</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360"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b.</w:t>
            </w:r>
            <w:r>
              <w:rPr>
                <w:rFonts w:hint="eastAsia" w:ascii="仿宋_GB2312" w:eastAsia="仿宋_GB2312" w:cs="仿宋_GB2312"/>
                <w:color w:val="000000"/>
              </w:rPr>
              <w:t>控制系统</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能手动、机械应急和自动控制功能，开、关灵活</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73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restart"/>
            <w:tcBorders>
              <w:top w:val="nil"/>
              <w:left w:val="single" w:color="auto" w:sz="4" w:space="0"/>
              <w:bottom w:val="single" w:color="000000" w:sz="4" w:space="0"/>
              <w:right w:val="single" w:color="auto" w:sz="4" w:space="0"/>
            </w:tcBorders>
            <w:vAlign w:val="center"/>
          </w:tcPr>
          <w:p>
            <w:pPr>
              <w:rPr>
                <w:rFonts w:ascii="仿宋_GB2312" w:hAnsi="宋体" w:eastAsia="仿宋_GB2312"/>
                <w:color w:val="000000"/>
              </w:rPr>
            </w:pPr>
            <w:r>
              <w:rPr>
                <w:rFonts w:ascii="仿宋_GB2312" w:eastAsia="仿宋_GB2312" w:cs="仿宋_GB2312"/>
                <w:color w:val="000000"/>
              </w:rPr>
              <w:t>c.</w:t>
            </w:r>
            <w:r>
              <w:rPr>
                <w:rFonts w:hint="eastAsia" w:ascii="仿宋_GB2312" w:eastAsia="仿宋_GB2312" w:cs="仿宋_GB2312"/>
                <w:color w:val="000000"/>
              </w:rPr>
              <w:t>联动情况</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确保防火卷帘模块与主机系统能正常联动</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480"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275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eastAsia="仿宋_GB2312" w:cs="仿宋_GB2312"/>
                <w:color w:val="000000"/>
              </w:rPr>
              <w:t>分别触发两个相关的火灾探测器，查看该抽查区域卷帘门的联动情况</w:t>
            </w:r>
          </w:p>
        </w:tc>
        <w:tc>
          <w:tcPr>
            <w:tcW w:w="2741" w:type="dxa"/>
            <w:vMerge w:val="continue"/>
            <w:tcBorders>
              <w:left w:val="nil"/>
              <w:right w:val="single" w:color="auto" w:sz="4" w:space="0"/>
            </w:tcBorders>
          </w:tcPr>
          <w:p>
            <w:pPr>
              <w:widowControl/>
              <w:rPr>
                <w:rFonts w:ascii="仿宋_GB2312" w:eastAsia="仿宋_GB2312"/>
                <w:color w:val="000000"/>
              </w:rPr>
            </w:pPr>
          </w:p>
        </w:tc>
      </w:tr>
      <w:tr>
        <w:tblPrEx>
          <w:tblLayout w:type="fixed"/>
          <w:tblCellMar>
            <w:top w:w="0" w:type="dxa"/>
            <w:left w:w="108" w:type="dxa"/>
            <w:bottom w:w="0" w:type="dxa"/>
            <w:right w:w="108" w:type="dxa"/>
          </w:tblCellMar>
        </w:tblPrEx>
        <w:trPr>
          <w:trHeight w:val="46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000000"/>
              </w:rPr>
            </w:pPr>
            <w:r>
              <w:rPr>
                <w:rFonts w:ascii="仿宋_GB2312" w:eastAsia="仿宋_GB2312" w:cs="仿宋_GB2312"/>
                <w:color w:val="000000"/>
              </w:rPr>
              <w:t>2</w:t>
            </w:r>
          </w:p>
        </w:tc>
        <w:tc>
          <w:tcPr>
            <w:tcW w:w="1389"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防火门及相关配件（防火门每月按一年完成全覆盖的要求进行区域抽查）</w:t>
            </w:r>
          </w:p>
        </w:tc>
        <w:tc>
          <w:tcPr>
            <w:tcW w:w="2756" w:type="dxa"/>
            <w:tcBorders>
              <w:top w:val="nil"/>
              <w:left w:val="nil"/>
              <w:bottom w:val="single" w:color="auto" w:sz="4" w:space="0"/>
              <w:right w:val="single" w:color="auto" w:sz="4" w:space="0"/>
            </w:tcBorders>
            <w:vAlign w:val="center"/>
          </w:tcPr>
          <w:p>
            <w:pPr>
              <w:rPr>
                <w:rFonts w:ascii="仿宋_GB2312" w:hAnsi="宋体" w:eastAsia="仿宋_GB2312"/>
                <w:color w:val="000000"/>
              </w:rPr>
            </w:pPr>
            <w:r>
              <w:rPr>
                <w:rFonts w:hint="eastAsia" w:ascii="仿宋_GB2312" w:eastAsia="仿宋_GB2312" w:cs="仿宋_GB2312"/>
                <w:color w:val="000000"/>
              </w:rPr>
              <w:t>查看门外观有无变形、表面有无损坏、门扇的密封性是否符合要求</w:t>
            </w:r>
          </w:p>
        </w:tc>
        <w:tc>
          <w:tcPr>
            <w:tcW w:w="2741" w:type="dxa"/>
            <w:vMerge w:val="continue"/>
            <w:tcBorders>
              <w:left w:val="nil"/>
              <w:right w:val="single" w:color="auto" w:sz="4" w:space="0"/>
            </w:tcBorders>
          </w:tcPr>
          <w:p>
            <w:pPr>
              <w:rPr>
                <w:rFonts w:ascii="仿宋_GB2312" w:eastAsia="仿宋_GB2312"/>
                <w:color w:val="000000"/>
              </w:rPr>
            </w:pPr>
          </w:p>
        </w:tc>
      </w:tr>
      <w:tr>
        <w:tblPrEx>
          <w:tblLayout w:type="fixed"/>
          <w:tblCellMar>
            <w:top w:w="0" w:type="dxa"/>
            <w:left w:w="108" w:type="dxa"/>
            <w:bottom w:w="0" w:type="dxa"/>
            <w:right w:w="108" w:type="dxa"/>
          </w:tblCellMar>
        </w:tblPrEx>
        <w:trPr>
          <w:trHeight w:val="555" w:hRule="atLeast"/>
        </w:trPr>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275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eastAsia="仿宋_GB2312" w:cs="仿宋_GB2312"/>
                <w:color w:val="000000"/>
              </w:rPr>
              <w:t>检查防火门的手把、闭门器、顺序器等是否完好，是否功能正常</w:t>
            </w:r>
          </w:p>
        </w:tc>
        <w:tc>
          <w:tcPr>
            <w:tcW w:w="2741" w:type="dxa"/>
            <w:vMerge w:val="continue"/>
            <w:tcBorders>
              <w:left w:val="nil"/>
              <w:bottom w:val="single" w:color="auto" w:sz="4" w:space="0"/>
              <w:right w:val="single" w:color="auto" w:sz="4" w:space="0"/>
            </w:tcBorders>
          </w:tcPr>
          <w:p>
            <w:pPr>
              <w:widowControl/>
              <w:jc w:val="left"/>
              <w:rPr>
                <w:rFonts w:ascii="仿宋_GB2312" w:eastAsia="仿宋_GB2312"/>
                <w:color w:val="00000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室内外消火栓系统（含增压稳压系统安装于屋顶、室外消防车水泵接合器）；</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69"/>
        <w:gridCol w:w="3600"/>
        <w:gridCol w:w="1559"/>
      </w:tblGrid>
      <w:tr>
        <w:tblPrEx>
          <w:tblLayout w:type="fixed"/>
          <w:tblCellMar>
            <w:top w:w="0" w:type="dxa"/>
            <w:left w:w="108" w:type="dxa"/>
            <w:bottom w:w="0" w:type="dxa"/>
            <w:right w:w="108" w:type="dxa"/>
          </w:tblCellMar>
        </w:tblPrEx>
        <w:trPr>
          <w:trHeight w:val="63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96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室内外消火栓系统（含水泵房加压水泵</w:t>
            </w:r>
            <w:r>
              <w:rPr>
                <w:rFonts w:ascii="仿宋_GB2312" w:hAnsi="宋体" w:eastAsia="仿宋_GB2312" w:cs="仿宋_GB2312"/>
                <w:color w:val="000000"/>
                <w:kern w:val="0"/>
              </w:rPr>
              <w:t>2</w:t>
            </w:r>
            <w:r>
              <w:rPr>
                <w:rFonts w:hint="eastAsia" w:ascii="仿宋_GB2312" w:hAnsi="宋体" w:eastAsia="仿宋_GB2312" w:cs="仿宋_GB2312"/>
                <w:color w:val="000000"/>
                <w:kern w:val="0"/>
              </w:rPr>
              <w:t>台，以及</w:t>
            </w:r>
            <w:r>
              <w:rPr>
                <w:rFonts w:ascii="仿宋_GB2312" w:hAnsi="宋体" w:eastAsia="仿宋_GB2312" w:cs="仿宋_GB2312"/>
                <w:color w:val="000000"/>
                <w:kern w:val="0"/>
              </w:rPr>
              <w:t>5</w:t>
            </w:r>
            <w:r>
              <w:rPr>
                <w:rFonts w:hint="eastAsia" w:ascii="仿宋_GB2312" w:hAnsi="宋体" w:eastAsia="仿宋_GB2312" w:cs="仿宋_GB2312"/>
                <w:color w:val="000000"/>
                <w:kern w:val="0"/>
              </w:rPr>
              <w:t>号楼屋顶的增压稳压系统）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系统管网</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观察系统压力参数是否恒定，是否符合工作压力</w:t>
            </w:r>
            <w:r>
              <w:rPr>
                <w:rFonts w:ascii="仿宋_GB2312" w:hAnsi="宋体" w:eastAsia="仿宋_GB2312" w:cs="仿宋_GB2312"/>
                <w:color w:val="000000"/>
                <w:kern w:val="0"/>
              </w:rPr>
              <w:t>,</w:t>
            </w:r>
            <w:r>
              <w:rPr>
                <w:rFonts w:hint="eastAsia" w:ascii="仿宋_GB2312" w:hAnsi="宋体" w:eastAsia="仿宋_GB2312" w:cs="仿宋_GB2312"/>
                <w:color w:val="000000"/>
                <w:kern w:val="0"/>
              </w:rPr>
              <w:t>目测管网外观，有无跑、冒、滴、漏现象</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室内消火栓按半年完成全覆盖的要求进行区域抽查。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室外消火栓每月按照半年完成全覆盖的要求进行出水测试。</w:t>
            </w:r>
            <w:r>
              <w:rPr>
                <w:rFonts w:ascii="仿宋_GB2312" w:hAnsi="宋体" w:eastAsia="仿宋_GB2312"/>
                <w:color w:val="000000"/>
                <w:kern w:val="0"/>
              </w:rPr>
              <w:br w:type="textWrapping"/>
            </w:r>
            <w:r>
              <w:rPr>
                <w:rFonts w:ascii="仿宋_GB2312" w:hAnsi="宋体" w:eastAsia="仿宋_GB2312" w:cs="仿宋_GB2312"/>
                <w:color w:val="000000"/>
                <w:kern w:val="0"/>
              </w:rPr>
              <w:t>5.</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消防水泵房配电柜与控制柜</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检查配电柜与控制柜的电源是否正常，使用专业工具对消防控制主机柜体内部进行吹扫，保持机柜内部清洁卫生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检查配电柜与控制柜有无变形、损伤、腐蚀、锈蚀，若有需除锈、刷漆等相应处理</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检查线路图及操作说明是否齐全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检查电压、电流表指标是否在规定的范围内</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检查控制柜内继电器是否脱落、松动、接点是否烧损，转换开关应处于正常状态，各导线链接是否松脱，绝缘是否损伤</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查看自动切换启动备用泵情况，同时查看仪表及指示灯是否显示正常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消火栓水泵</w:t>
            </w:r>
            <w:r>
              <w:rPr>
                <w:rFonts w:ascii="仿宋_GB2312" w:hAnsi="宋体" w:eastAsia="仿宋_GB2312" w:cs="仿宋_GB2312"/>
                <w:color w:val="000000"/>
                <w:kern w:val="0"/>
              </w:rPr>
              <w:t>(</w:t>
            </w:r>
            <w:r>
              <w:rPr>
                <w:rFonts w:hint="eastAsia" w:ascii="仿宋_GB2312" w:hAnsi="宋体" w:eastAsia="仿宋_GB2312" w:cs="仿宋_GB2312"/>
                <w:color w:val="000000"/>
                <w:kern w:val="0"/>
              </w:rPr>
              <w:t>一备一用）</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分别启动测试主、备用水泵运转，确保手动、自动均能正常启动水泵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每月对阀杆加注润滑油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在水泵房的控制柜内启动水泵、消防控制室启动水泵，查看能否运行及反馈信号</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检查水泵能否正常运转，流量和压力能否保证；</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检查主、备泵能否自动切换</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启动水泵后、打开试验阀，观察压力保持情况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每月对喷淋水泵检修、保养一次，添加润滑油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增压稳压系统</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外观检查：检查水泵、罐体有无变形、掉漆、有无渗漏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每月对水泵检修、保养一次，添加润滑油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检查稳压泵是否能够自动加压</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检测稳压泵的启动频率，确保启动频率正常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打开试验排水阀，检查减水时能否自动供水、加压装置及供水装置压力表是否显示正常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室内消火栓（室内消火栓每月按照半年完成全覆盖的要求进行区域抽查）</w:t>
            </w: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消火栓和消防卷盘供水阀不应有渗漏现象</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消火栓门开启时无障碍，关闭时密闭严实</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消防水枪、水带、消防卷盘及全部附件齐全良好，卷盘转动灵活</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报警按钮、指示类及控制线路功能正常、无故障</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消火栓及箱内配装的消防部件的外观无破损、涂层无脱落、箱门玻璃完好无缺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消火栓、供水阀门及消防卷盘等所有转动部位应定期加注润滑油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每月选择最不利消火栓、连接压力表，开启消火栓、测量并记录栓口静水压力</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4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屋顶消防水箱</w:t>
            </w:r>
          </w:p>
        </w:tc>
        <w:tc>
          <w:tcPr>
            <w:tcW w:w="3969"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外观检查：检查水箱有无变形、掉漆、有无渗漏</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查看水位是否在正常范围及消防用水不被他用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96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消防水泵启动后，查看水位是否上升</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54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室外消火栓</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消火栓启闭杆检查</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用专用扳手转动消火栓启闭杆，观察其灵活性，每月对阀杆加注润滑油</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密封性</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栓体外观</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检查栓体外表有无剥落，有无锈蚀，若有需除锈处理</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d.</w:t>
            </w:r>
            <w:r>
              <w:rPr>
                <w:rFonts w:hint="eastAsia" w:ascii="仿宋_GB2312" w:hAnsi="宋体" w:eastAsia="仿宋_GB2312" w:cs="仿宋_GB2312"/>
                <w:color w:val="000000"/>
                <w:kern w:val="0"/>
              </w:rPr>
              <w:t>出水测试</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每月按照半年完成全覆盖的要求进行出水测试</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7</w:t>
            </w:r>
          </w:p>
        </w:tc>
        <w:tc>
          <w:tcPr>
            <w:tcW w:w="1840"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室外消防车水泵结合器</w:t>
            </w: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360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消防声光报警系统及手报装置</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119"/>
        <w:gridCol w:w="240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60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消防声光报警系统及手报装置</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声光报警装置（每月按照一年完成全覆盖的要求进行区域抽查）</w:t>
            </w: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检查声光报警装置有无脱落，有损坏</w:t>
            </w:r>
          </w:p>
        </w:tc>
        <w:tc>
          <w:tcPr>
            <w:tcW w:w="240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声光报警装置及手报装置按一年完成全覆盖的要求进行区域抽查。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使用数字声级计测量背景噪音的最大声强</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输入控制信号、测量并记录声警报的声强，具有光警报的查看光警报是否正常</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手报装置（每月按照一年完成全覆盖的要求进行区域抽查）</w:t>
            </w: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检查工作状态指示灯正常</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检查玻璃无损坏，外部接线牢固、无松动</w:t>
            </w:r>
            <w:r>
              <w:rPr>
                <w:rFonts w:ascii="仿宋_GB2312" w:hAnsi="宋体" w:eastAsia="仿宋_GB2312" w:cs="仿宋_GB2312"/>
                <w:color w:val="000000"/>
                <w:kern w:val="0"/>
              </w:rPr>
              <w:t>(</w:t>
            </w:r>
            <w:r>
              <w:rPr>
                <w:rFonts w:hint="eastAsia" w:ascii="仿宋_GB2312" w:hAnsi="宋体" w:eastAsia="仿宋_GB2312" w:cs="仿宋_GB2312"/>
                <w:color w:val="000000"/>
                <w:kern w:val="0"/>
              </w:rPr>
              <w:t>用手扳动设备及安装支架无松动情况，如有损坏及时报修</w:t>
            </w:r>
            <w:r>
              <w:rPr>
                <w:rFonts w:ascii="仿宋_GB2312" w:hAnsi="宋体" w:eastAsia="仿宋_GB2312" w:cs="仿宋_GB2312"/>
                <w:color w:val="000000"/>
                <w:kern w:val="0"/>
              </w:rPr>
              <w:t>)</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6</w:t>
            </w: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119"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触发按钮，查看火灾报警控制器火警信号显示和按钮的报警确认灯</w:t>
            </w:r>
          </w:p>
        </w:tc>
        <w:tc>
          <w:tcPr>
            <w:tcW w:w="24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消防通讯电话及火灾广播系统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2750"/>
        <w:gridCol w:w="240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2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4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消防通讯电话、火灾广播系统、电梯紧急呼叫</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45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消防通讯电话</w:t>
            </w:r>
          </w:p>
        </w:tc>
        <w:tc>
          <w:tcPr>
            <w:tcW w:w="2409"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区域广播按一年完成全覆盖的要求进行区域抽查。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、控制室与设备间的通话</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分别双向测试控制室主机电话与所有分机电话的通话功能正常，语音清楚</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61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、电话插孔通讯试验</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测试手动报警按钮处插孔通话，功能正常，语音清晰（按一年完成全覆盖的要求进行区域抽查）。</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45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消防广播系统</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a.</w:t>
            </w:r>
            <w:r>
              <w:rPr>
                <w:rFonts w:hint="eastAsia" w:ascii="仿宋_GB2312" w:hAnsi="宋体" w:eastAsia="仿宋_GB2312" w:cs="仿宋_GB2312"/>
                <w:color w:val="000000"/>
                <w:kern w:val="0"/>
              </w:rPr>
              <w:t>清洁卫生</w:t>
            </w:r>
          </w:p>
        </w:tc>
        <w:tc>
          <w:tcPr>
            <w:tcW w:w="275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使用专业工具对广播设备机柜体内部进行吹扫，保持机柜内部、设备表面清洁卫生</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b</w:t>
            </w:r>
            <w:r>
              <w:rPr>
                <w:rFonts w:hint="eastAsia" w:ascii="仿宋_GB2312" w:hAnsi="宋体" w:eastAsia="仿宋_GB2312" w:cs="仿宋_GB2312"/>
                <w:color w:val="000000"/>
                <w:kern w:val="0"/>
              </w:rPr>
              <w:t>、响试验</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s="仿宋_GB2312"/>
                <w:color w:val="000000"/>
                <w:kern w:val="0"/>
              </w:rPr>
            </w:pPr>
            <w:r>
              <w:rPr>
                <w:rFonts w:hint="eastAsia" w:ascii="仿宋_GB2312" w:hAnsi="宋体" w:eastAsia="仿宋_GB2312" w:cs="仿宋_GB2312"/>
                <w:color w:val="000000"/>
                <w:kern w:val="0"/>
              </w:rPr>
              <w:t>距本楼层</w:t>
            </w:r>
            <w:r>
              <w:rPr>
                <w:rFonts w:ascii="仿宋_GB2312" w:hAnsi="宋体" w:eastAsia="仿宋_GB2312" w:cs="仿宋_GB2312"/>
                <w:color w:val="000000"/>
                <w:kern w:val="0"/>
              </w:rPr>
              <w:t>25</w:t>
            </w:r>
            <w:r>
              <w:rPr>
                <w:rFonts w:hint="eastAsia" w:ascii="仿宋_GB2312" w:hAnsi="宋体" w:eastAsia="仿宋_GB2312" w:cs="仿宋_GB2312"/>
                <w:color w:val="000000"/>
                <w:kern w:val="0"/>
              </w:rPr>
              <w:t>米以内</w:t>
            </w:r>
            <w:r>
              <w:rPr>
                <w:rFonts w:ascii="仿宋_GB2312" w:hAnsi="宋体" w:eastAsia="仿宋_GB2312" w:cs="仿宋_GB2312"/>
                <w:color w:val="000000"/>
                <w:kern w:val="0"/>
              </w:rPr>
              <w:t>,</w:t>
            </w:r>
            <w:r>
              <w:rPr>
                <w:rFonts w:hint="eastAsia" w:ascii="仿宋_GB2312" w:hAnsi="宋体" w:eastAsia="仿宋_GB2312" w:cs="仿宋_GB2312"/>
                <w:color w:val="000000"/>
                <w:kern w:val="0"/>
              </w:rPr>
              <w:t>测听音响效果是否清楚</w:t>
            </w:r>
            <w:r>
              <w:rPr>
                <w:rFonts w:ascii="仿宋_GB2312" w:hAnsi="宋体" w:eastAsia="仿宋_GB2312" w:cs="仿宋_GB2312"/>
                <w:color w:val="000000"/>
                <w:kern w:val="0"/>
              </w:rPr>
              <w:t xml:space="preserve">                                                                                                                                                                                                                                                                                                                                                                                                                                                                                                                                                                                                                                                                                                                                                                                                                                                                                                                                                       </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c</w:t>
            </w:r>
            <w:r>
              <w:rPr>
                <w:rFonts w:hint="eastAsia" w:ascii="仿宋_GB2312" w:hAnsi="宋体" w:eastAsia="仿宋_GB2312" w:cs="仿宋_GB2312"/>
                <w:color w:val="000000"/>
                <w:kern w:val="0"/>
              </w:rPr>
              <w:t>、行切换功能</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公共广播与火灾广播合用系统的可在消控室将进行中的一般广播强切换为火灾广播</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ascii="仿宋_GB2312" w:hAnsi="宋体" w:eastAsia="仿宋_GB2312" w:cs="仿宋_GB2312"/>
                <w:color w:val="000000"/>
                <w:kern w:val="0"/>
              </w:rPr>
              <w:t>d</w:t>
            </w:r>
            <w:r>
              <w:rPr>
                <w:rFonts w:hint="eastAsia" w:ascii="仿宋_GB2312" w:hAnsi="宋体" w:eastAsia="仿宋_GB2312" w:cs="仿宋_GB2312"/>
                <w:color w:val="000000"/>
                <w:kern w:val="0"/>
              </w:rPr>
              <w:t>、区域广播功能</w:t>
            </w:r>
          </w:p>
        </w:tc>
        <w:tc>
          <w:tcPr>
            <w:tcW w:w="275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每月按照一年完成全覆盖的要求进行区域抽查消控室内可选定区域广播</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电梯紧急呼叫</w:t>
            </w:r>
          </w:p>
        </w:tc>
        <w:tc>
          <w:tcPr>
            <w:tcW w:w="275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测试所有电梯轿厢内的紧急呼叫，确定呼叫功能是否有效，测听通话效果是否清楚</w:t>
            </w: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应急照明系统与应急疏散指示系统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175"/>
        <w:gridCol w:w="1984"/>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1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76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应急照明系统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外观检查</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检查应急照明灯具安装是否牢固，没有遮挡</w:t>
            </w:r>
            <w:r>
              <w:rPr>
                <w:rFonts w:ascii="仿宋_GB2312" w:hAnsi="宋体" w:eastAsia="仿宋_GB2312" w:cs="仿宋_GB2312"/>
                <w:color w:val="000000"/>
                <w:kern w:val="0"/>
              </w:rPr>
              <w:t>,</w:t>
            </w:r>
            <w:r>
              <w:rPr>
                <w:rFonts w:hint="eastAsia" w:ascii="仿宋_GB2312" w:hAnsi="宋体" w:eastAsia="仿宋_GB2312" w:cs="仿宋_GB2312"/>
                <w:color w:val="000000"/>
                <w:kern w:val="0"/>
              </w:rPr>
              <w:t>亮度是否正常，灯罩干净无积尘（每月按照一年完成全覆盖的要求进行区域抽查）</w:t>
            </w:r>
          </w:p>
        </w:tc>
        <w:tc>
          <w:tcPr>
            <w:tcW w:w="1984"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应急照明灯具与疏散指示灯按一年完成全覆盖的要求进行区域抽查。</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电源切换试验</w:t>
            </w:r>
          </w:p>
        </w:tc>
        <w:tc>
          <w:tcPr>
            <w:tcW w:w="3175"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切断正常供电电源后，消防应急电源是否自动投入应用，记录应急工作状态的持续时间是否大于等于</w:t>
            </w:r>
            <w:r>
              <w:rPr>
                <w:rFonts w:ascii="仿宋_GB2312" w:hAnsi="宋体" w:eastAsia="仿宋_GB2312" w:cs="仿宋_GB2312"/>
                <w:color w:val="000000"/>
                <w:kern w:val="0"/>
              </w:rPr>
              <w:t>90</w:t>
            </w:r>
            <w:r>
              <w:rPr>
                <w:rFonts w:hint="eastAsia" w:ascii="仿宋_GB2312" w:hAnsi="宋体" w:eastAsia="仿宋_GB2312" w:cs="仿宋_GB2312"/>
                <w:color w:val="000000"/>
                <w:kern w:val="0"/>
              </w:rPr>
              <w:t>分钟</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应急照明控制柜</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检查控制柜电源是否正常，使用专业工具对消防控制主机柜体内部进行吹扫，保持机柜内部清洁卫生</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应急照明控制柜电池充放电</w:t>
            </w:r>
          </w:p>
        </w:tc>
        <w:tc>
          <w:tcPr>
            <w:tcW w:w="3175"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每两个月对所有应急照明控制柜的电池进行放电保养</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1005" w:hRule="atLeast"/>
        </w:trPr>
        <w:tc>
          <w:tcPr>
            <w:tcW w:w="10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应急疏散指示系统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外观检查</w:t>
            </w:r>
          </w:p>
        </w:tc>
        <w:tc>
          <w:tcPr>
            <w:tcW w:w="3175"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检查应急疏散指示灯安装是否牢固、完好，指示方向是否正确，亮度是否正常，没有遮挡，表面干净无积尘（每月按照一年完成全覆盖的要求进行区域抽查）</w:t>
            </w: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防排烟系统</w:t>
      </w:r>
    </w:p>
    <w:tbl>
      <w:tblPr>
        <w:tblStyle w:val="7"/>
        <w:tblW w:w="8519" w:type="dxa"/>
        <w:tblInd w:w="-106" w:type="dxa"/>
        <w:tblLayout w:type="fixed"/>
        <w:tblCellMar>
          <w:top w:w="0" w:type="dxa"/>
          <w:left w:w="108" w:type="dxa"/>
          <w:bottom w:w="0" w:type="dxa"/>
          <w:right w:w="108" w:type="dxa"/>
        </w:tblCellMar>
      </w:tblPr>
      <w:tblGrid>
        <w:gridCol w:w="1000"/>
        <w:gridCol w:w="520"/>
        <w:gridCol w:w="1329"/>
        <w:gridCol w:w="4111"/>
        <w:gridCol w:w="1559"/>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32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防排烟系统</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对排烟阀、排烟防火阀、送风阀的维保</w:t>
            </w:r>
          </w:p>
        </w:tc>
        <w:tc>
          <w:tcPr>
            <w:tcW w:w="411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排烟口、送风口有无变形、损伤，周围有无影响使用的障碍物</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每年利用专业工作应对防排烟风机的风量进行测定</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风管与排烟口连接部位的法兰有无损伤，螺栓是否松动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阀件是否完整，易熔片是否脱落，动作是正常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旋转机构是否灵活，每半年对机械传送机构加适量润滑剂</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制动机构、限位器是否符合要求</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进行手动、远程启闭操作，检查是否可以完全打开</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对送风、排烟风机的维保</w:t>
            </w: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风机房周围有无可燃物；安装螺栓是否松动、损伤</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传动机构是否变形、损伤；叶轮是否与外壳接触</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电动机的接线是否松动；电动机有无腐蚀现象</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电源供电是否正常（检查电压表或电源指示灯）</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检查轴承的润滑油状态是否异常（脏污、混入泥沙、尘等）</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检查传动皮带是否松动、联轴器是否牢固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启动电动机、旋转时有无异常振动、杂音</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操作手动或自动启动装置，进行每个防烟分区（或正压送风）的动作试验：手动或自动能否正常启动；运转电流是否正常；运转中是否有不规则杂音及异常振动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32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对风机电柜的维保</w:t>
            </w: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控制柜有无变形、操作、腐蚀</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线路图及操作说明是否齐全</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电压、电流表的指针是否在规定的范围内</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32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4111"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操作开关，检查开关性，检查指示灯显示状态是否正常</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544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正压送风阀：检查其送风阀是否完好，能否完成送风功能</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544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每年利用专业工作应对防排烟风机的风量进行测定，做记录并形成报告</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0</w:t>
      </w:r>
      <w:r>
        <w:rPr>
          <w:rFonts w:ascii="仿宋_GB2312" w:eastAsia="仿宋_GB2312" w:cs="仿宋_GB2312"/>
          <w:sz w:val="24"/>
          <w:szCs w:val="24"/>
        </w:rPr>
        <w:t>.</w:t>
      </w:r>
      <w:r>
        <w:rPr>
          <w:rFonts w:hint="eastAsia" w:ascii="仿宋_GB2312" w:eastAsia="仿宋_GB2312" w:cs="仿宋_GB2312"/>
          <w:sz w:val="24"/>
          <w:szCs w:val="24"/>
        </w:rPr>
        <w:t>火灾探测系统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0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1335"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火灾探测系统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烟感、温感探测器报警抽查</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每月按一年完成全覆盖的要求进行区域抽查烟感、温感探测器测试，确认报警功能检测工作有火情，火警信号输出；短路或脱座，故障信号输出，检查灵敏度、报警阀值</w:t>
            </w:r>
          </w:p>
        </w:tc>
        <w:tc>
          <w:tcPr>
            <w:tcW w:w="2126"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99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外观质量</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对抽查的区域，检查有无腐蚀及明显机械损伤</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91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检查指示灯的功能</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在报警状态时，指示灯灯启动；在巡检状态时，指示灯闪动</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11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烟感探头清洁</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对抽查的区域烟感探头进行清洁以保持探头的灵敏</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1</w:t>
      </w:r>
      <w:r>
        <w:rPr>
          <w:rFonts w:ascii="仿宋_GB2312" w:eastAsia="仿宋_GB2312" w:cs="仿宋_GB2312"/>
          <w:sz w:val="24"/>
          <w:szCs w:val="24"/>
        </w:rPr>
        <w:t>.</w:t>
      </w:r>
      <w:r>
        <w:rPr>
          <w:rFonts w:hint="eastAsia" w:ascii="仿宋_GB2312" w:eastAsia="仿宋_GB2312" w:cs="仿宋_GB2312"/>
          <w:sz w:val="24"/>
          <w:szCs w:val="24"/>
        </w:rPr>
        <w:t>防火漏电自动报警系统</w:t>
      </w:r>
    </w:p>
    <w:tbl>
      <w:tblPr>
        <w:tblStyle w:val="7"/>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Layout w:type="fixed"/>
          <w:tblCellMar>
            <w:top w:w="0" w:type="dxa"/>
            <w:left w:w="108" w:type="dxa"/>
            <w:bottom w:w="0" w:type="dxa"/>
            <w:right w:w="108" w:type="dxa"/>
          </w:tblCellMar>
        </w:tblPrEx>
        <w:trPr>
          <w:trHeight w:val="117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8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0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855" w:hRule="atLeast"/>
        </w:trPr>
        <w:tc>
          <w:tcPr>
            <w:tcW w:w="10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防火漏电自动报警系统</w:t>
            </w: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防火漏电控制柜</w:t>
            </w:r>
          </w:p>
        </w:tc>
        <w:tc>
          <w:tcPr>
            <w:tcW w:w="303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检查控制柜的电源是否正常，使用专业工具对消防控制主机柜体内部进行吹扫，保持机柜内部清洁卫生</w:t>
            </w:r>
          </w:p>
        </w:tc>
        <w:tc>
          <w:tcPr>
            <w:tcW w:w="2126"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电源切换试验</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切断正常供电电源后，控制应急电源是否自动投入应用</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840"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电池放电</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每两个月对控制柜的电池进行放电保养，并做好记录</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打印机</w:t>
            </w: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检查打印机功能是否正常，打印纸是否足够</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033"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将每月的防火漏电打印记录复印并装订在每月维保报告中</w:t>
            </w: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rPr>
            </w:pPr>
          </w:p>
        </w:tc>
      </w:tr>
    </w:tbl>
    <w:p>
      <w:pPr>
        <w:spacing w:line="400" w:lineRule="exact"/>
        <w:ind w:firstLine="600" w:firstLineChars="25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2</w:t>
      </w:r>
      <w:r>
        <w:rPr>
          <w:rFonts w:ascii="仿宋_GB2312" w:eastAsia="仿宋_GB2312" w:cs="仿宋_GB2312"/>
          <w:sz w:val="24"/>
          <w:szCs w:val="24"/>
        </w:rPr>
        <w:t>.</w:t>
      </w:r>
      <w:r>
        <w:rPr>
          <w:rFonts w:hint="eastAsia" w:ascii="仿宋_GB2312" w:eastAsia="仿宋_GB2312" w:cs="仿宋_GB2312"/>
          <w:sz w:val="24"/>
          <w:szCs w:val="24"/>
        </w:rPr>
        <w:t>可燃气体探测报警系统。</w:t>
      </w:r>
    </w:p>
    <w:tbl>
      <w:tblPr>
        <w:tblStyle w:val="7"/>
        <w:tblW w:w="8519" w:type="dxa"/>
        <w:tblInd w:w="-106" w:type="dxa"/>
        <w:tblLayout w:type="fixed"/>
        <w:tblCellMar>
          <w:top w:w="0" w:type="dxa"/>
          <w:left w:w="108" w:type="dxa"/>
          <w:bottom w:w="0" w:type="dxa"/>
          <w:right w:w="108" w:type="dxa"/>
        </w:tblCellMar>
      </w:tblPr>
      <w:tblGrid>
        <w:gridCol w:w="1000"/>
        <w:gridCol w:w="520"/>
        <w:gridCol w:w="1471"/>
        <w:gridCol w:w="3686"/>
        <w:gridCol w:w="1842"/>
      </w:tblGrid>
      <w:tr>
        <w:tblPrEx>
          <w:tblLayout w:type="fixed"/>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维保项目</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序号</w:t>
            </w:r>
          </w:p>
        </w:tc>
        <w:tc>
          <w:tcPr>
            <w:tcW w:w="14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维保内容</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检查要点</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维保周期与要求</w:t>
            </w:r>
          </w:p>
        </w:tc>
      </w:tr>
      <w:tr>
        <w:tblPrEx>
          <w:tblLayout w:type="fixed"/>
          <w:tblCellMar>
            <w:top w:w="0" w:type="dxa"/>
            <w:left w:w="108" w:type="dxa"/>
            <w:bottom w:w="0" w:type="dxa"/>
            <w:right w:w="108" w:type="dxa"/>
          </w:tblCellMar>
        </w:tblPrEx>
        <w:trPr>
          <w:trHeight w:val="27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可燃气体探测报警系统</w:t>
            </w: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对排烟阀、排烟防火阀、送风阀的维保</w:t>
            </w:r>
          </w:p>
        </w:tc>
        <w:tc>
          <w:tcPr>
            <w:tcW w:w="368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排烟口、送风口有无变形、损伤，周围有无影响使用的障碍物</w:t>
            </w:r>
          </w:p>
        </w:tc>
        <w:tc>
          <w:tcPr>
            <w:tcW w:w="1842"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除注明抽查的，其它每月须全部检查</w:t>
            </w:r>
            <w:r>
              <w:rPr>
                <w:rFonts w:ascii="仿宋_GB2312" w:hAnsi="宋体" w:eastAsia="仿宋_GB2312"/>
                <w:color w:val="000000"/>
                <w:kern w:val="0"/>
              </w:rPr>
              <w:br w:type="textWrapping"/>
            </w:r>
            <w:r>
              <w:rPr>
                <w:rFonts w:ascii="仿宋_GB2312" w:hAnsi="宋体" w:eastAsia="仿宋_GB2312" w:cs="仿宋_GB2312"/>
                <w:color w:val="000000"/>
                <w:kern w:val="0"/>
              </w:rPr>
              <w:t>1.</w:t>
            </w:r>
            <w:r>
              <w:rPr>
                <w:rFonts w:hint="eastAsia" w:ascii="仿宋_GB2312" w:hAnsi="宋体" w:eastAsia="仿宋_GB2312" w:cs="仿宋_GB2312"/>
                <w:color w:val="000000"/>
                <w:kern w:val="0"/>
              </w:rPr>
              <w:t>检查时须有院方代表参与，检查完成后由维保单位与院方代表共同签字确认。</w:t>
            </w:r>
            <w:r>
              <w:rPr>
                <w:rFonts w:ascii="仿宋_GB2312" w:hAnsi="宋体" w:eastAsia="仿宋_GB2312"/>
                <w:color w:val="000000"/>
                <w:kern w:val="0"/>
              </w:rPr>
              <w:br w:type="textWrapping"/>
            </w:r>
            <w:r>
              <w:rPr>
                <w:rFonts w:ascii="仿宋_GB2312" w:hAnsi="宋体" w:eastAsia="仿宋_GB2312" w:cs="仿宋_GB2312"/>
                <w:color w:val="000000"/>
                <w:kern w:val="0"/>
              </w:rPr>
              <w:t>2.</w:t>
            </w:r>
            <w:r>
              <w:rPr>
                <w:rFonts w:hint="eastAsia" w:ascii="仿宋_GB2312" w:hAnsi="宋体" w:eastAsia="仿宋_GB2312" w:cs="仿宋_GB2312"/>
                <w:color w:val="000000"/>
                <w:kern w:val="0"/>
              </w:rPr>
              <w:t>检查结果均需装订形成每月的检查报告。</w:t>
            </w:r>
            <w:r>
              <w:rPr>
                <w:rFonts w:ascii="仿宋_GB2312" w:hAnsi="宋体" w:eastAsia="仿宋_GB2312"/>
                <w:color w:val="000000"/>
                <w:kern w:val="0"/>
              </w:rPr>
              <w:br w:type="textWrapping"/>
            </w:r>
            <w:r>
              <w:rPr>
                <w:rFonts w:ascii="仿宋_GB2312" w:hAnsi="宋体" w:eastAsia="仿宋_GB2312" w:cs="仿宋_GB2312"/>
                <w:color w:val="000000"/>
                <w:kern w:val="0"/>
              </w:rPr>
              <w:t>3.</w:t>
            </w:r>
            <w:r>
              <w:rPr>
                <w:rFonts w:hint="eastAsia" w:ascii="仿宋_GB2312" w:hAnsi="宋体" w:eastAsia="仿宋_GB2312" w:cs="仿宋_GB2312"/>
                <w:color w:val="000000"/>
                <w:kern w:val="0"/>
              </w:rPr>
              <w:t>烟感、温感探测器每月按一年完成全覆盖的要求进行区域抽查</w:t>
            </w:r>
            <w:r>
              <w:rPr>
                <w:rFonts w:ascii="仿宋_GB2312" w:hAnsi="宋体" w:eastAsia="仿宋_GB2312" w:cs="仿宋_GB2312"/>
                <w:color w:val="000000"/>
                <w:kern w:val="0"/>
              </w:rPr>
              <w:t>,</w:t>
            </w:r>
            <w:r>
              <w:rPr>
                <w:rFonts w:hint="eastAsia" w:ascii="仿宋_GB2312" w:hAnsi="宋体" w:eastAsia="仿宋_GB2312" w:cs="仿宋_GB2312"/>
                <w:color w:val="000000"/>
                <w:kern w:val="0"/>
              </w:rPr>
              <w:t>并形成报告。</w:t>
            </w:r>
            <w:r>
              <w:rPr>
                <w:rFonts w:ascii="仿宋_GB2312" w:hAnsi="宋体" w:eastAsia="仿宋_GB2312"/>
                <w:color w:val="000000"/>
                <w:kern w:val="0"/>
              </w:rPr>
              <w:br w:type="textWrapping"/>
            </w:r>
            <w:r>
              <w:rPr>
                <w:rFonts w:ascii="仿宋_GB2312" w:hAnsi="宋体" w:eastAsia="仿宋_GB2312" w:cs="仿宋_GB2312"/>
                <w:color w:val="000000"/>
                <w:kern w:val="0"/>
              </w:rPr>
              <w:t>4.</w:t>
            </w:r>
            <w:r>
              <w:rPr>
                <w:rFonts w:hint="eastAsia" w:ascii="仿宋_GB2312" w:hAnsi="宋体" w:eastAsia="仿宋_GB2312" w:cs="仿宋_GB2312"/>
                <w:color w:val="000000"/>
                <w:kern w:val="0"/>
              </w:rPr>
              <w:t>每月的抽查区域与检查结果均需装订形成每月的检查报告。</w:t>
            </w: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rPr>
            </w:pPr>
            <w:r>
              <w:rPr>
                <w:rFonts w:hint="eastAsia" w:ascii="仿宋_GB2312" w:hAnsi="宋体" w:eastAsia="仿宋_GB2312" w:cs="仿宋_GB2312"/>
                <w:color w:val="000000"/>
                <w:kern w:val="0"/>
              </w:rPr>
              <w:t>风管与排烟口连接部位的法兰有无损伤，螺栓是否松动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阀件是否完整，易熔片是否脱落，动作是正常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旋转机构是否灵活，每半年对机械传送机构加适量润滑剂</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制动机构、限位器是否符合要求</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进行手动、远程启闭操作，检查是否可以完全打开</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2</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对送风、排烟风机的维保</w:t>
            </w: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风机房周围有无可燃物；安装螺栓是否松动、损伤</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传动机构是否变形、损伤；叶轮是否与外壳接触</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电动机的接线是否松动；电动机有无腐蚀现象</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电源供电是否正常（检查电压表或电源指示灯）</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检查轴承的润滑油状态是否异常（脏污、混入泥沙、尘等）</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检查传动皮带是否松动、联轴器是否牢固</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启动电动机、旋转时有无异常振动、杂音</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操作手动或自动启动装置，进行每个防烟分区（或正压送风）的动作试验：手动或自动能否正常启动；运转电流是否正常；运转中是否有不规则杂音及异常振动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3</w:t>
            </w:r>
          </w:p>
        </w:tc>
        <w:tc>
          <w:tcPr>
            <w:tcW w:w="14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对系统的配电柜与控制柜维保</w:t>
            </w: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配电柜与控制柜有无变形、操作、腐蚀</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线路图及操作说明是否齐全</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电压、电流表的指针是否在规定的范围内</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开关是否有变形、损伤、标志脱落，是否处正常状态、控制盘的指示灯是否正常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3686"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操作开关，检查开关性，检查指示灯显示状态是否正常</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4</w:t>
            </w:r>
          </w:p>
        </w:tc>
        <w:tc>
          <w:tcPr>
            <w:tcW w:w="515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正压送风阀：检查其送风阀是否完好，能否完成送风功能</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r>
        <w:tblPrEx>
          <w:tblLayout w:type="fixed"/>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c>
          <w:tcPr>
            <w:tcW w:w="5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5</w:t>
            </w:r>
          </w:p>
        </w:tc>
        <w:tc>
          <w:tcPr>
            <w:tcW w:w="515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每年利用专业工作应对防排烟风机的风量进行测定，做记录并形成报告</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rPr>
            </w:pP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（二）本服务项目通过年度的服务包干报价进行比选，以上各楼宇的系统作为本服务项目的比选依据，包含但不限于上述内容，如有遗漏请自行考虑。</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（三）维保要求</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按照上述“</w:t>
      </w:r>
      <w:r>
        <w:rPr>
          <w:rFonts w:ascii="仿宋_GB2312" w:eastAsia="仿宋_GB2312" w:cs="仿宋_GB2312"/>
          <w:sz w:val="24"/>
          <w:szCs w:val="24"/>
        </w:rPr>
        <w:t>5.</w:t>
      </w:r>
      <w:r>
        <w:rPr>
          <w:rFonts w:hint="eastAsia" w:ascii="仿宋_GB2312" w:eastAsia="仿宋_GB2312" w:cs="仿宋_GB2312"/>
          <w:sz w:val="24"/>
          <w:szCs w:val="24"/>
        </w:rPr>
        <w:t>维保内容”所涉及维保内容与要求制作相应检查记录表格，每月向医院汇报消防系统及设施的情况，。</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维保单位进行维保工作时，须由院方代表共同参与，维保检查结果须院方代表签字确认后，交后勤保障部存档，作为服务付费依据。</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对日常检查出或院方人员反映的问题及时进行维修处理，接到应急维修两小时赶到现场</w:t>
      </w:r>
      <w:r>
        <w:rPr>
          <w:rFonts w:ascii="仿宋_GB2312" w:eastAsia="仿宋_GB2312" w:cs="仿宋_GB2312"/>
          <w:sz w:val="24"/>
          <w:szCs w:val="24"/>
        </w:rPr>
        <w:t>,</w:t>
      </w:r>
      <w:r>
        <w:rPr>
          <w:rFonts w:hint="eastAsia" w:ascii="仿宋_GB2312" w:eastAsia="仿宋_GB2312" w:cs="仿宋_GB2312"/>
          <w:sz w:val="24"/>
          <w:szCs w:val="24"/>
        </w:rPr>
        <w:t>及时解决发生的问题。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定期检查出的问题立即处理。</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消防系统维护所需零星耗材单件单价3</w:t>
      </w:r>
      <w:r>
        <w:rPr>
          <w:rFonts w:ascii="仿宋_GB2312" w:eastAsia="仿宋_GB2312" w:cs="仿宋_GB2312"/>
          <w:sz w:val="24"/>
          <w:szCs w:val="24"/>
        </w:rPr>
        <w:t>00</w:t>
      </w:r>
      <w:r>
        <w:rPr>
          <w:rFonts w:hint="eastAsia" w:ascii="仿宋_GB2312" w:eastAsia="仿宋_GB2312" w:cs="仿宋_GB2312"/>
          <w:sz w:val="24"/>
          <w:szCs w:val="24"/>
        </w:rPr>
        <w:t>元以内（含3</w:t>
      </w:r>
      <w:r>
        <w:rPr>
          <w:rFonts w:ascii="仿宋_GB2312" w:eastAsia="仿宋_GB2312" w:cs="仿宋_GB2312"/>
          <w:sz w:val="24"/>
          <w:szCs w:val="24"/>
        </w:rPr>
        <w:t>00</w:t>
      </w:r>
      <w:r>
        <w:rPr>
          <w:rFonts w:hint="eastAsia" w:ascii="仿宋_GB2312" w:eastAsia="仿宋_GB2312" w:cs="仿宋_GB2312"/>
          <w:sz w:val="24"/>
          <w:szCs w:val="24"/>
        </w:rPr>
        <w:t>元）材料由维保方支付，3</w:t>
      </w:r>
      <w:r>
        <w:rPr>
          <w:rFonts w:ascii="仿宋_GB2312" w:eastAsia="仿宋_GB2312" w:cs="仿宋_GB2312"/>
          <w:sz w:val="24"/>
          <w:szCs w:val="24"/>
        </w:rPr>
        <w:t>00</w:t>
      </w:r>
      <w:r>
        <w:rPr>
          <w:rFonts w:hint="eastAsia" w:ascii="仿宋_GB2312" w:eastAsia="仿宋_GB2312" w:cs="仿宋_GB2312"/>
          <w:sz w:val="24"/>
          <w:szCs w:val="24"/>
        </w:rPr>
        <w:t>元以上由院方支付。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每年终由维保单位负责联系第三方检测机构对维保范围内的消防系统及设施进行检测。</w:t>
      </w:r>
    </w:p>
    <w:p>
      <w:pPr>
        <w:spacing w:line="276" w:lineRule="auto"/>
        <w:ind w:firstLine="530" w:firstLineChars="221"/>
        <w:rPr>
          <w:rFonts w:ascii="仿宋_GB2312" w:eastAsia="仿宋_GB2312"/>
          <w:sz w:val="24"/>
          <w:szCs w:val="24"/>
        </w:rPr>
      </w:pPr>
      <w:r>
        <w:rPr>
          <w:rFonts w:hint="eastAsia" w:ascii="仿宋_GB2312" w:eastAsia="仿宋_GB2312" w:cs="仿宋_GB2312"/>
          <w:sz w:val="24"/>
          <w:szCs w:val="24"/>
        </w:rPr>
        <w:t>（四）维保记录及保存</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编制维修保养记录表，及时记录每次维修保养情况。</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每月的维修保养结果和记录须院方代表签字确认后，交院方审查，并移交一份复印件。</w:t>
      </w:r>
    </w:p>
    <w:p>
      <w:pPr>
        <w:spacing w:line="276" w:lineRule="auto"/>
        <w:ind w:firstLine="530" w:firstLineChars="221"/>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维修保养记录原件由维保单位保存，年终交医院档案室存档，保存期为三年。</w:t>
      </w:r>
    </w:p>
    <w:p>
      <w:pPr>
        <w:tabs>
          <w:tab w:val="left" w:pos="425"/>
          <w:tab w:val="left" w:pos="956"/>
        </w:tabs>
        <w:spacing w:line="276" w:lineRule="auto"/>
        <w:ind w:firstLine="636" w:firstLineChars="265"/>
        <w:jc w:val="left"/>
        <w:rPr>
          <w:rFonts w:ascii="仿宋_GB2312" w:eastAsia="仿宋_GB2312"/>
          <w:sz w:val="24"/>
          <w:szCs w:val="24"/>
        </w:rPr>
      </w:pPr>
      <w:r>
        <w:rPr>
          <w:rFonts w:hint="eastAsia" w:ascii="仿宋_GB2312" w:eastAsia="仿宋_GB2312" w:cs="仿宋_GB2312"/>
          <w:sz w:val="24"/>
          <w:szCs w:val="24"/>
        </w:rPr>
        <w:t>（五）人员配置</w:t>
      </w:r>
    </w:p>
    <w:p>
      <w:pPr>
        <w:spacing w:line="276" w:lineRule="auto"/>
        <w:ind w:firstLine="530" w:firstLineChars="221"/>
        <w:rPr>
          <w:rFonts w:hint="eastAsia" w:ascii="仿宋_GB2312" w:eastAsia="仿宋_GB2312" w:cs="仿宋_GB2312"/>
          <w:sz w:val="24"/>
          <w:szCs w:val="24"/>
        </w:rPr>
      </w:pPr>
      <w:r>
        <w:rPr>
          <w:rFonts w:hint="eastAsia" w:ascii="仿宋_GB2312" w:eastAsia="仿宋_GB2312" w:cs="仿宋_GB2312"/>
          <w:sz w:val="24"/>
          <w:szCs w:val="24"/>
        </w:rPr>
        <w:t>每月维保工作应由维保公司派</w:t>
      </w:r>
      <w:r>
        <w:rPr>
          <w:rFonts w:ascii="仿宋_GB2312" w:eastAsia="仿宋_GB2312" w:cs="仿宋_GB2312"/>
          <w:sz w:val="24"/>
          <w:szCs w:val="24"/>
        </w:rPr>
        <w:t>4-6</w:t>
      </w:r>
      <w:r>
        <w:rPr>
          <w:rFonts w:hint="eastAsia" w:ascii="仿宋_GB2312" w:eastAsia="仿宋_GB2312" w:cs="仿宋_GB2312"/>
          <w:sz w:val="24"/>
          <w:szCs w:val="24"/>
        </w:rPr>
        <w:t>人的团队或小组完成，严禁只派一人走过场式的检查与维护。遇到紧急报修，接院方通知后，两小时内赶到医院处理相关故障。人员专业资质：持有电工证或者机电安装等技能证书</w:t>
      </w:r>
      <w:r>
        <w:rPr>
          <w:rFonts w:ascii="仿宋_GB2312" w:eastAsia="仿宋_GB2312" w:cs="仿宋_GB2312"/>
          <w:sz w:val="24"/>
          <w:szCs w:val="24"/>
        </w:rPr>
        <w:t>(</w:t>
      </w:r>
      <w:r>
        <w:rPr>
          <w:rFonts w:hint="eastAsia" w:ascii="仿宋_GB2312" w:eastAsia="仿宋_GB2312" w:cs="仿宋_GB2312"/>
          <w:sz w:val="24"/>
          <w:szCs w:val="24"/>
        </w:rPr>
        <w:t>如遇紧急情况，可加派应急人员到场</w:t>
      </w:r>
      <w:r>
        <w:rPr>
          <w:rFonts w:ascii="仿宋_GB2312" w:eastAsia="仿宋_GB2312" w:cs="仿宋_GB2312"/>
          <w:sz w:val="24"/>
          <w:szCs w:val="24"/>
        </w:rPr>
        <w:t>)</w:t>
      </w:r>
      <w:r>
        <w:rPr>
          <w:rFonts w:hint="eastAsia" w:ascii="仿宋_GB2312" w:eastAsia="仿宋_GB2312" w:cs="仿宋_GB2312"/>
          <w:sz w:val="24"/>
          <w:szCs w:val="24"/>
        </w:rPr>
        <w:t>。</w:t>
      </w:r>
    </w:p>
    <w:p>
      <w:pPr>
        <w:spacing w:line="276" w:lineRule="auto"/>
        <w:ind w:firstLine="530" w:firstLineChars="221"/>
        <w:rPr>
          <w:rFonts w:hint="eastAsia" w:ascii="仿宋_GB2312" w:eastAsia="仿宋_GB2312"/>
          <w:sz w:val="24"/>
          <w:szCs w:val="24"/>
        </w:rPr>
      </w:pPr>
    </w:p>
    <w:p>
      <w:pPr>
        <w:spacing w:line="400" w:lineRule="exact"/>
        <w:rPr>
          <w:rFonts w:hint="eastAsia" w:ascii="黑体" w:hAnsi="宋体" w:eastAsia="黑体"/>
          <w:sz w:val="32"/>
          <w:szCs w:val="32"/>
        </w:rPr>
      </w:pPr>
      <w:r>
        <w:rPr>
          <w:rFonts w:hint="eastAsia" w:ascii="黑体" w:hAnsi="宋体" w:eastAsia="黑体"/>
          <w:sz w:val="32"/>
          <w:szCs w:val="32"/>
        </w:rPr>
        <w:t>附件2</w:t>
      </w:r>
    </w:p>
    <w:p>
      <w:pPr>
        <w:spacing w:line="276" w:lineRule="auto"/>
        <w:ind w:firstLine="530" w:firstLineChars="221"/>
        <w:rPr>
          <w:rFonts w:hint="eastAsia" w:ascii="仿宋_GB2312" w:eastAsia="仿宋_GB2312"/>
          <w:sz w:val="24"/>
          <w:szCs w:val="24"/>
        </w:rPr>
      </w:pPr>
      <w:r>
        <w:rPr>
          <w:rFonts w:hint="eastAsia" w:ascii="仿宋_GB2312" w:eastAsia="仿宋_GB2312"/>
          <w:sz w:val="24"/>
          <w:szCs w:val="24"/>
        </w:rPr>
        <w:t>评分细则</w:t>
      </w:r>
    </w:p>
    <w:tbl>
      <w:tblPr>
        <w:tblStyle w:val="7"/>
        <w:tblW w:w="84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4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9" w:type="dxa"/>
            <w:vAlign w:val="center"/>
          </w:tcPr>
          <w:p>
            <w:pPr>
              <w:jc w:val="center"/>
              <w:rPr>
                <w:rFonts w:hAnsi="宋体" w:cs="宋体"/>
                <w:sz w:val="22"/>
              </w:rPr>
            </w:pPr>
            <w:r>
              <w:rPr>
                <w:rFonts w:hint="eastAsia" w:hAnsi="宋体" w:cs="宋体"/>
                <w:sz w:val="22"/>
              </w:rPr>
              <w:t>评分因素</w:t>
            </w:r>
          </w:p>
        </w:tc>
        <w:tc>
          <w:tcPr>
            <w:tcW w:w="5344" w:type="dxa"/>
            <w:gridSpan w:val="2"/>
            <w:vAlign w:val="center"/>
          </w:tcPr>
          <w:p>
            <w:pPr>
              <w:jc w:val="center"/>
              <w:rPr>
                <w:rFonts w:hAnsi="宋体" w:cs="宋体"/>
                <w:sz w:val="22"/>
              </w:rPr>
            </w:pPr>
            <w:r>
              <w:rPr>
                <w:rFonts w:hint="eastAsia" w:hAnsi="宋体" w:cs="宋体"/>
                <w:sz w:val="22"/>
              </w:rPr>
              <w:t>评分标准</w:t>
            </w:r>
          </w:p>
        </w:tc>
        <w:tc>
          <w:tcPr>
            <w:tcW w:w="1308" w:type="dxa"/>
            <w:vAlign w:val="center"/>
          </w:tcPr>
          <w:p>
            <w:pPr>
              <w:jc w:val="center"/>
              <w:rPr>
                <w:rFonts w:hAnsi="宋体" w:cs="宋体"/>
                <w:sz w:val="22"/>
              </w:rPr>
            </w:pPr>
          </w:p>
        </w:tc>
        <w:tc>
          <w:tcPr>
            <w:tcW w:w="765" w:type="dxa"/>
            <w:vAlign w:val="center"/>
          </w:tcPr>
          <w:p>
            <w:pPr>
              <w:jc w:val="center"/>
              <w:rPr>
                <w:rFonts w:hAnsi="宋体" w:cs="宋体"/>
                <w:sz w:val="22"/>
              </w:rPr>
            </w:pPr>
            <w:r>
              <w:rPr>
                <w:rFonts w:hint="eastAsia" w:hAnsi="宋体" w:cs="宋体"/>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9" w:type="dxa"/>
            <w:vAlign w:val="center"/>
          </w:tcPr>
          <w:p>
            <w:pPr>
              <w:rPr>
                <w:rFonts w:hint="eastAsia" w:hAnsi="宋体" w:cs="宋体"/>
                <w:sz w:val="22"/>
              </w:rPr>
            </w:pPr>
            <w:r>
              <w:rPr>
                <w:rFonts w:hint="eastAsia" w:hAnsi="宋体" w:cs="宋体"/>
                <w:sz w:val="22"/>
              </w:rPr>
              <w:t>报价（40分）</w:t>
            </w:r>
          </w:p>
        </w:tc>
        <w:tc>
          <w:tcPr>
            <w:tcW w:w="5344" w:type="dxa"/>
            <w:gridSpan w:val="2"/>
            <w:vAlign w:val="center"/>
          </w:tcPr>
          <w:p>
            <w:pPr>
              <w:rPr>
                <w:rFonts w:hint="eastAsia" w:hAnsi="宋体" w:cs="宋体"/>
                <w:sz w:val="22"/>
              </w:rPr>
            </w:pPr>
            <w:r>
              <w:rPr>
                <w:rFonts w:hint="eastAsia" w:hAnsi="宋体" w:cs="宋体"/>
                <w:sz w:val="22"/>
              </w:rPr>
              <w:t>满足磋商文件要求且最后报价最低的供应商的价格为磋商基准价，其价格分为满分，其他磋商报价得分=（磋商基准价/最后磋商报价）×权值</w:t>
            </w:r>
          </w:p>
        </w:tc>
        <w:tc>
          <w:tcPr>
            <w:tcW w:w="1308" w:type="dxa"/>
            <w:vAlign w:val="center"/>
          </w:tcPr>
          <w:p>
            <w:pPr>
              <w:rPr>
                <w:rFonts w:hint="eastAsia" w:hAnsi="宋体" w:cs="宋体"/>
                <w:sz w:val="22"/>
              </w:rPr>
            </w:pPr>
            <w:r>
              <w:rPr>
                <w:rFonts w:hint="eastAsia" w:hAnsi="宋体" w:cs="宋体"/>
                <w:sz w:val="22"/>
              </w:rPr>
              <w:t>根据川财采[2015]33号文，对供应商的失信行为给予10%/次的报价累加加成，用调整后的价格参与评审。</w:t>
            </w:r>
          </w:p>
        </w:tc>
        <w:tc>
          <w:tcPr>
            <w:tcW w:w="765" w:type="dxa"/>
            <w:vAlign w:val="center"/>
          </w:tcPr>
          <w:p>
            <w:pPr>
              <w:rPr>
                <w:rFonts w:hint="eastAsia"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99" w:type="dxa"/>
            <w:vMerge w:val="restart"/>
            <w:vAlign w:val="center"/>
          </w:tcPr>
          <w:p>
            <w:pPr>
              <w:rPr>
                <w:rFonts w:hAnsi="宋体" w:cs="宋体"/>
                <w:sz w:val="22"/>
              </w:rPr>
            </w:pPr>
            <w:r>
              <w:rPr>
                <w:rFonts w:hint="eastAsia" w:hAnsi="宋体" w:cs="宋体"/>
                <w:sz w:val="22"/>
              </w:rPr>
              <w:t>维保方案（18分）</w:t>
            </w:r>
          </w:p>
        </w:tc>
        <w:tc>
          <w:tcPr>
            <w:tcW w:w="1248" w:type="dxa"/>
            <w:vAlign w:val="center"/>
          </w:tcPr>
          <w:p>
            <w:pPr>
              <w:rPr>
                <w:rFonts w:hAnsi="宋体" w:cs="宋体"/>
                <w:sz w:val="22"/>
              </w:rPr>
            </w:pPr>
            <w:r>
              <w:rPr>
                <w:rFonts w:hint="eastAsia" w:hAnsi="宋体" w:cs="宋体"/>
                <w:sz w:val="22"/>
              </w:rPr>
              <w:t>维保方案与技术措施（3分）</w:t>
            </w:r>
          </w:p>
        </w:tc>
        <w:tc>
          <w:tcPr>
            <w:tcW w:w="4096" w:type="dxa"/>
            <w:vAlign w:val="center"/>
          </w:tcPr>
          <w:p>
            <w:pPr>
              <w:rPr>
                <w:rFonts w:hAnsi="宋体" w:cs="宋体"/>
                <w:sz w:val="22"/>
              </w:rPr>
            </w:pPr>
            <w:r>
              <w:rPr>
                <w:rFonts w:hint="eastAsia" w:hAnsi="宋体" w:cs="宋体"/>
                <w:sz w:val="22"/>
              </w:rPr>
              <w:t>对投标人针对本项目的施工方案与技术措施在项目管理、施工质量保证等方面进行综合评比：第一名得3分，第二名得2分，第三名得1分，其余的不得分。没有提供方案的不得分。</w:t>
            </w:r>
          </w:p>
        </w:tc>
        <w:tc>
          <w:tcPr>
            <w:tcW w:w="1308" w:type="dxa"/>
            <w:vMerge w:val="restart"/>
            <w:vAlign w:val="center"/>
          </w:tcPr>
          <w:p>
            <w:pPr>
              <w:rPr>
                <w:rFonts w:hAnsi="宋体" w:cs="宋体"/>
                <w:sz w:val="22"/>
              </w:rPr>
            </w:pPr>
            <w:r>
              <w:rPr>
                <w:rFonts w:hint="eastAsia" w:hAnsi="宋体" w:cs="宋体"/>
                <w:sz w:val="22"/>
              </w:rPr>
              <w:t>/</w:t>
            </w:r>
          </w:p>
        </w:tc>
        <w:tc>
          <w:tcPr>
            <w:tcW w:w="765" w:type="dxa"/>
            <w:vMerge w:val="restart"/>
            <w:vAlign w:val="center"/>
          </w:tcPr>
          <w:p>
            <w:pPr>
              <w:rPr>
                <w:rFonts w:hAnsi="宋体" w:cs="宋体"/>
                <w:sz w:val="22"/>
              </w:rPr>
            </w:pPr>
            <w:r>
              <w:rPr>
                <w:rFonts w:hint="eastAsia" w:hAnsi="宋体" w:cs="宋体"/>
                <w:sz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999" w:type="dxa"/>
            <w:vMerge w:val="continue"/>
            <w:vAlign w:val="center"/>
          </w:tcPr>
          <w:p>
            <w:pPr>
              <w:rPr>
                <w:rFonts w:hAnsi="宋体" w:cs="宋体"/>
                <w:sz w:val="22"/>
              </w:rPr>
            </w:pPr>
          </w:p>
        </w:tc>
        <w:tc>
          <w:tcPr>
            <w:tcW w:w="1248" w:type="dxa"/>
            <w:vAlign w:val="center"/>
          </w:tcPr>
          <w:p>
            <w:pPr>
              <w:rPr>
                <w:rFonts w:hAnsi="宋体" w:cs="宋体"/>
                <w:sz w:val="22"/>
              </w:rPr>
            </w:pPr>
            <w:r>
              <w:rPr>
                <w:rFonts w:hint="eastAsia" w:hAnsi="宋体" w:cs="宋体"/>
                <w:sz w:val="22"/>
              </w:rPr>
              <w:t>质量管理体系与措施（3分）</w:t>
            </w:r>
          </w:p>
        </w:tc>
        <w:tc>
          <w:tcPr>
            <w:tcW w:w="4096" w:type="dxa"/>
            <w:vAlign w:val="center"/>
          </w:tcPr>
          <w:p>
            <w:pPr>
              <w:rPr>
                <w:rFonts w:hAnsi="宋体" w:cs="宋体"/>
                <w:sz w:val="22"/>
              </w:rPr>
            </w:pPr>
            <w:r>
              <w:rPr>
                <w:rFonts w:hint="eastAsia" w:hAnsi="宋体" w:cs="宋体"/>
                <w:sz w:val="22"/>
              </w:rPr>
              <w:t>对投标人针对本项目的质量管理体系与措施在完整性、科学性以及针对性等方面进行综合评比：第一名得3分，第二名得2分，第三名得1分，其余的不得分。没有提供方案的不得分。</w:t>
            </w:r>
          </w:p>
        </w:tc>
        <w:tc>
          <w:tcPr>
            <w:tcW w:w="1308"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999" w:type="dxa"/>
            <w:vMerge w:val="continue"/>
            <w:vAlign w:val="center"/>
          </w:tcPr>
          <w:p>
            <w:pPr>
              <w:rPr>
                <w:rFonts w:hAnsi="宋体" w:cs="宋体"/>
                <w:sz w:val="22"/>
              </w:rPr>
            </w:pPr>
          </w:p>
        </w:tc>
        <w:tc>
          <w:tcPr>
            <w:tcW w:w="1248" w:type="dxa"/>
            <w:vAlign w:val="center"/>
          </w:tcPr>
          <w:p>
            <w:pPr>
              <w:rPr>
                <w:rFonts w:hAnsi="宋体" w:cs="宋体"/>
                <w:sz w:val="22"/>
              </w:rPr>
            </w:pPr>
            <w:r>
              <w:rPr>
                <w:rFonts w:hint="eastAsia" w:hAnsi="宋体" w:cs="宋体"/>
                <w:sz w:val="22"/>
              </w:rPr>
              <w:t>安全管理体系与措施（3分）</w:t>
            </w:r>
          </w:p>
        </w:tc>
        <w:tc>
          <w:tcPr>
            <w:tcW w:w="4096" w:type="dxa"/>
            <w:vAlign w:val="center"/>
          </w:tcPr>
          <w:p>
            <w:pPr>
              <w:rPr>
                <w:rFonts w:hAnsi="宋体" w:cs="宋体"/>
                <w:sz w:val="22"/>
              </w:rPr>
            </w:pPr>
            <w:r>
              <w:rPr>
                <w:rFonts w:hint="eastAsia" w:hAnsi="宋体" w:cs="宋体"/>
                <w:sz w:val="22"/>
              </w:rPr>
              <w:t>对投标人针对本项目的安全管理体系与措施在全面性、完整性、针对性以及安全教育培训、安全防护等方面进行综合评比：第一名得3分，第二名得2分，第三名得1分，其余的不得分。没有提供方案的不得分。</w:t>
            </w:r>
          </w:p>
        </w:tc>
        <w:tc>
          <w:tcPr>
            <w:tcW w:w="1308"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999" w:type="dxa"/>
            <w:vMerge w:val="continue"/>
            <w:vAlign w:val="center"/>
          </w:tcPr>
          <w:p>
            <w:pPr>
              <w:rPr>
                <w:rFonts w:hAnsi="宋体" w:cs="宋体"/>
                <w:sz w:val="22"/>
              </w:rPr>
            </w:pPr>
          </w:p>
        </w:tc>
        <w:tc>
          <w:tcPr>
            <w:tcW w:w="1248" w:type="dxa"/>
            <w:vAlign w:val="center"/>
          </w:tcPr>
          <w:p>
            <w:pPr>
              <w:rPr>
                <w:rFonts w:hAnsi="宋体" w:cs="宋体"/>
                <w:sz w:val="22"/>
              </w:rPr>
            </w:pPr>
            <w:r>
              <w:rPr>
                <w:rFonts w:hint="eastAsia" w:hAnsi="宋体" w:cs="宋体"/>
                <w:sz w:val="22"/>
              </w:rPr>
              <w:t>环境保护管理体系与措施（3分）</w:t>
            </w:r>
          </w:p>
        </w:tc>
        <w:tc>
          <w:tcPr>
            <w:tcW w:w="4096" w:type="dxa"/>
            <w:vAlign w:val="center"/>
          </w:tcPr>
          <w:p>
            <w:pPr>
              <w:rPr>
                <w:rFonts w:hAnsi="宋体" w:cs="宋体"/>
                <w:sz w:val="22"/>
              </w:rPr>
            </w:pPr>
            <w:r>
              <w:rPr>
                <w:rFonts w:hint="eastAsia" w:hAnsi="宋体" w:cs="宋体"/>
                <w:sz w:val="22"/>
              </w:rPr>
              <w:t>对投标人针对本项目的环境保护管理体系与措施在全面性、完整性、针对性以及污染物处理、污染物排放、技术管理手段等方面进行综合评比：第一名得3分，第二名得2分，第三名得1分，其余的不得分。没有提供方案的不得分。</w:t>
            </w:r>
          </w:p>
        </w:tc>
        <w:tc>
          <w:tcPr>
            <w:tcW w:w="1308"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999" w:type="dxa"/>
            <w:vMerge w:val="continue"/>
            <w:vAlign w:val="center"/>
          </w:tcPr>
          <w:p>
            <w:pPr>
              <w:rPr>
                <w:rFonts w:hAnsi="宋体" w:cs="宋体"/>
                <w:sz w:val="22"/>
              </w:rPr>
            </w:pPr>
          </w:p>
        </w:tc>
        <w:tc>
          <w:tcPr>
            <w:tcW w:w="1248" w:type="dxa"/>
            <w:vAlign w:val="center"/>
          </w:tcPr>
          <w:p>
            <w:pPr>
              <w:rPr>
                <w:rFonts w:hAnsi="宋体" w:cs="宋体"/>
                <w:sz w:val="22"/>
              </w:rPr>
            </w:pPr>
            <w:r>
              <w:rPr>
                <w:rFonts w:hint="eastAsia" w:hAnsi="宋体" w:cs="宋体"/>
                <w:sz w:val="22"/>
              </w:rPr>
              <w:t>工程进度计划与措施（3分）</w:t>
            </w:r>
          </w:p>
        </w:tc>
        <w:tc>
          <w:tcPr>
            <w:tcW w:w="4096" w:type="dxa"/>
            <w:vAlign w:val="center"/>
          </w:tcPr>
          <w:p>
            <w:pPr>
              <w:rPr>
                <w:rFonts w:hAnsi="宋体" w:cs="宋体"/>
                <w:sz w:val="22"/>
              </w:rPr>
            </w:pPr>
            <w:r>
              <w:rPr>
                <w:rFonts w:hint="eastAsia" w:hAnsi="宋体" w:cs="宋体"/>
                <w:sz w:val="22"/>
              </w:rPr>
              <w:t>对投标人针对本项目的工程进度计划与措施在高效性、合理性、科学性以及工期保障等方面进行综合评比：第一名得3分，第二名得2分，第三名得1分，其余的不得分。没有提供方案的不得分。</w:t>
            </w:r>
          </w:p>
        </w:tc>
        <w:tc>
          <w:tcPr>
            <w:tcW w:w="1308"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99" w:type="dxa"/>
            <w:vMerge w:val="continue"/>
            <w:vAlign w:val="center"/>
          </w:tcPr>
          <w:p>
            <w:pPr>
              <w:rPr>
                <w:rFonts w:hAnsi="宋体" w:cs="宋体"/>
                <w:sz w:val="22"/>
              </w:rPr>
            </w:pPr>
          </w:p>
        </w:tc>
        <w:tc>
          <w:tcPr>
            <w:tcW w:w="1248" w:type="dxa"/>
            <w:vAlign w:val="center"/>
          </w:tcPr>
          <w:p>
            <w:pPr>
              <w:rPr>
                <w:rFonts w:hAnsi="宋体" w:cs="宋体"/>
                <w:sz w:val="22"/>
              </w:rPr>
            </w:pPr>
            <w:r>
              <w:rPr>
                <w:rFonts w:hint="eastAsia" w:hAnsi="宋体" w:cs="宋体"/>
                <w:sz w:val="22"/>
              </w:rPr>
              <w:t>资源配备计划（3分）</w:t>
            </w:r>
          </w:p>
        </w:tc>
        <w:tc>
          <w:tcPr>
            <w:tcW w:w="4096" w:type="dxa"/>
          </w:tcPr>
          <w:p>
            <w:pPr>
              <w:rPr>
                <w:rFonts w:hAnsi="宋体" w:cs="宋体"/>
                <w:sz w:val="22"/>
              </w:rPr>
            </w:pPr>
            <w:r>
              <w:rPr>
                <w:rFonts w:hint="eastAsia" w:hAnsi="宋体" w:cs="宋体"/>
                <w:sz w:val="22"/>
              </w:rPr>
              <w:t>对投标人针对本项目的资源配备计划在人员配备及相关设施设备投入的合理性、科学性以及对项目工程进度的保障性等方面进行综合评比：第一名得3分，第二名得2分，第三名得1分，其余的不得分。没有提供方案的不得分。</w:t>
            </w:r>
          </w:p>
        </w:tc>
        <w:tc>
          <w:tcPr>
            <w:tcW w:w="1308" w:type="dxa"/>
            <w:vMerge w:val="continue"/>
            <w:vAlign w:val="center"/>
          </w:tcPr>
          <w:p>
            <w:pPr>
              <w:rPr>
                <w:rFonts w:hAnsi="宋体" w:cs="宋体"/>
                <w:sz w:val="22"/>
              </w:rPr>
            </w:pPr>
          </w:p>
        </w:tc>
        <w:tc>
          <w:tcPr>
            <w:tcW w:w="765" w:type="dxa"/>
            <w:vMerge w:val="continue"/>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999" w:type="dxa"/>
            <w:vAlign w:val="center"/>
          </w:tcPr>
          <w:p>
            <w:pPr>
              <w:rPr>
                <w:rFonts w:hAnsi="宋体" w:cs="宋体"/>
                <w:sz w:val="22"/>
              </w:rPr>
            </w:pPr>
            <w:r>
              <w:rPr>
                <w:rFonts w:hint="eastAsia" w:hAnsi="宋体" w:cs="宋体"/>
                <w:sz w:val="22"/>
              </w:rPr>
              <w:t>项目管理机构（13分）</w:t>
            </w:r>
          </w:p>
        </w:tc>
        <w:tc>
          <w:tcPr>
            <w:tcW w:w="5344" w:type="dxa"/>
            <w:gridSpan w:val="2"/>
          </w:tcPr>
          <w:p>
            <w:pPr>
              <w:rPr>
                <w:rFonts w:hAnsi="宋体" w:cs="宋体"/>
                <w:sz w:val="22"/>
              </w:rPr>
            </w:pPr>
            <w:r>
              <w:rPr>
                <w:rFonts w:hint="eastAsia" w:ascii="宋体" w:hAnsi="宋体" w:cs="宋体"/>
                <w:sz w:val="22"/>
                <w:szCs w:val="22"/>
              </w:rPr>
              <w:t>（1）针对拟投入本项目的项目负责人（项目经理），为高级职称，且具有有效的安全生产考核合格证书B类的得4分。（证明材料须提供有效高级职称证书、身份证、安全生产考核B类合格证书以及在投标单位的社保证明复印件，加盖投标单位公章（鲜章））。                                                                  （2）针对拟投入本项目的技术负责人，具有中级技术职称加3分；具有高级技术职称，加5分。本项共5分。（证明材料须提供有效职称证、身份证以及在投标单位的社保证明复印件，加盖投标单位公章（鲜章））</w:t>
            </w:r>
            <w:r>
              <w:rPr>
                <w:rFonts w:hint="eastAsia" w:ascii="宋体" w:hAnsi="宋体" w:cs="宋体"/>
                <w:sz w:val="22"/>
                <w:szCs w:val="22"/>
              </w:rPr>
              <w:br w:type="textWrapping"/>
            </w:r>
            <w:r>
              <w:rPr>
                <w:rFonts w:hint="eastAsia" w:ascii="宋体" w:hAnsi="宋体" w:cs="宋体"/>
                <w:sz w:val="22"/>
                <w:szCs w:val="22"/>
              </w:rPr>
              <w:t>（3）针对拟投入本项目的其他人员（施工员、安全员、材料员、造价员、质量员）全部具有相关部门颁发的证书的，得4分。（须提供相关有效证书、身份证以及在投标单位的社保证明复印件，加盖投标单位公章（鲜章））</w:t>
            </w:r>
          </w:p>
        </w:tc>
        <w:tc>
          <w:tcPr>
            <w:tcW w:w="1308" w:type="dxa"/>
            <w:vAlign w:val="center"/>
          </w:tcPr>
          <w:p>
            <w:pPr>
              <w:rPr>
                <w:rFonts w:hAnsi="宋体" w:cs="宋体"/>
                <w:sz w:val="22"/>
              </w:rPr>
            </w:pPr>
            <w:r>
              <w:rPr>
                <w:rFonts w:hint="eastAsia" w:hAnsi="宋体" w:cs="宋体"/>
                <w:sz w:val="22"/>
              </w:rPr>
              <w:t>/</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999" w:type="dxa"/>
            <w:vAlign w:val="center"/>
          </w:tcPr>
          <w:p>
            <w:pPr>
              <w:rPr>
                <w:rFonts w:hAnsi="宋体" w:cs="宋体"/>
                <w:sz w:val="22"/>
              </w:rPr>
            </w:pPr>
            <w:r>
              <w:rPr>
                <w:rFonts w:hint="eastAsia" w:hAnsi="宋体" w:cs="宋体"/>
                <w:sz w:val="22"/>
              </w:rPr>
              <w:t>业绩（18分）</w:t>
            </w:r>
          </w:p>
        </w:tc>
        <w:tc>
          <w:tcPr>
            <w:tcW w:w="5344" w:type="dxa"/>
            <w:gridSpan w:val="2"/>
            <w:vAlign w:val="center"/>
          </w:tcPr>
          <w:p>
            <w:pPr>
              <w:rPr>
                <w:rFonts w:hint="eastAsia" w:ascii="宋体" w:hAnsi="宋体" w:cs="宋体"/>
                <w:sz w:val="22"/>
                <w:szCs w:val="22"/>
              </w:rPr>
            </w:pPr>
            <w:r>
              <w:rPr>
                <w:rFonts w:hint="eastAsia" w:ascii="宋体" w:hAnsi="宋体" w:cs="宋体"/>
                <w:sz w:val="22"/>
                <w:szCs w:val="22"/>
              </w:rPr>
              <w:t>（1）2014年1月1日以来每具一个类似项目工程业绩（类似工程：装饰装修工程）的得3分，最多得9分；（业绩证明材料须提供加盖投标单位公章（鲜章）的中标通知书或合同或竣工验收报告复印件）</w:t>
            </w:r>
          </w:p>
          <w:p>
            <w:pPr>
              <w:rPr>
                <w:rFonts w:hAnsi="宋体" w:cs="宋体"/>
                <w:sz w:val="22"/>
              </w:rPr>
            </w:pPr>
            <w:r>
              <w:rPr>
                <w:rFonts w:hint="eastAsia" w:ascii="宋体" w:hAnsi="宋体" w:cs="宋体"/>
                <w:sz w:val="22"/>
                <w:szCs w:val="22"/>
              </w:rPr>
              <w:t>（2）投标人拟派入本项目的项目经理2014年1月1日以来每具一个类似项目工程业绩（类似工程：装饰装修工程）的，一个得3分，最多得9分。（须提供加盖投标单位公章（鲜章）中标通知书或合同或竣工验收报告复印件）</w:t>
            </w:r>
          </w:p>
        </w:tc>
        <w:tc>
          <w:tcPr>
            <w:tcW w:w="1308" w:type="dxa"/>
            <w:vAlign w:val="center"/>
          </w:tcPr>
          <w:p>
            <w:pPr>
              <w:rPr>
                <w:rFonts w:hAnsi="宋体" w:cs="宋体"/>
                <w:sz w:val="22"/>
              </w:rPr>
            </w:pPr>
            <w:r>
              <w:rPr>
                <w:rFonts w:hint="eastAsia" w:hAnsi="宋体" w:cs="宋体"/>
                <w:sz w:val="22"/>
              </w:rPr>
              <w:t>提供合同或中标通知书复印件</w:t>
            </w:r>
          </w:p>
        </w:tc>
        <w:tc>
          <w:tcPr>
            <w:tcW w:w="765" w:type="dxa"/>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999" w:type="dxa"/>
            <w:vAlign w:val="center"/>
          </w:tcPr>
          <w:p>
            <w:pPr>
              <w:rPr>
                <w:rFonts w:hint="eastAsia" w:ascii="宋体" w:hAnsi="宋体" w:cs="宋体"/>
                <w:sz w:val="22"/>
                <w:szCs w:val="22"/>
              </w:rPr>
            </w:pPr>
            <w:r>
              <w:rPr>
                <w:rFonts w:hint="eastAsia" w:ascii="宋体" w:hAnsi="宋体" w:cs="宋体"/>
                <w:sz w:val="22"/>
                <w:szCs w:val="22"/>
              </w:rPr>
              <w:t>售后服务（8分）</w:t>
            </w:r>
          </w:p>
        </w:tc>
        <w:tc>
          <w:tcPr>
            <w:tcW w:w="5344" w:type="dxa"/>
            <w:gridSpan w:val="2"/>
            <w:vAlign w:val="center"/>
          </w:tcPr>
          <w:p>
            <w:pPr>
              <w:rPr>
                <w:rFonts w:hint="eastAsia" w:ascii="宋体" w:hAnsi="宋体" w:cs="宋体"/>
                <w:sz w:val="22"/>
                <w:szCs w:val="22"/>
              </w:rPr>
            </w:pPr>
            <w:r>
              <w:rPr>
                <w:rFonts w:hint="eastAsia" w:ascii="宋体" w:hAnsi="宋体" w:cs="宋体"/>
                <w:sz w:val="22"/>
                <w:szCs w:val="22"/>
              </w:rPr>
              <w:t>提供完善的售后服务方案(内容包括供应商提供免费售后服务电话,响应时间、现场服务支持能力、售后巡检、质量保证期限及范围,本地化服务情况等)对项目售后服务内容的合理性、全面性进行综合横向比较评分第一名得8分,第二名得6分,第三名得3分,第四名得1分其余不得分.</w:t>
            </w:r>
          </w:p>
        </w:tc>
        <w:tc>
          <w:tcPr>
            <w:tcW w:w="1308" w:type="dxa"/>
            <w:vAlign w:val="center"/>
          </w:tcPr>
          <w:p>
            <w:pPr>
              <w:rPr>
                <w:rFonts w:hint="eastAsia" w:ascii="宋体" w:hAnsi="宋体" w:cs="宋体"/>
                <w:sz w:val="22"/>
                <w:szCs w:val="22"/>
              </w:rPr>
            </w:pPr>
            <w:r>
              <w:rPr>
                <w:rFonts w:hint="eastAsia" w:ascii="宋体" w:hAnsi="宋体" w:cs="宋体"/>
                <w:sz w:val="22"/>
                <w:szCs w:val="22"/>
              </w:rPr>
              <w:t>提供相关证明材料（涵盖营业执照复印件）</w:t>
            </w:r>
          </w:p>
        </w:tc>
        <w:tc>
          <w:tcPr>
            <w:tcW w:w="765" w:type="dxa"/>
            <w:vAlign w:val="center"/>
          </w:tcPr>
          <w:p>
            <w:pPr>
              <w:rPr>
                <w:rFonts w:hint="eastAsia" w:ascii="宋体" w:hAnsi="宋体" w:cs="宋体"/>
                <w:sz w:val="22"/>
                <w:szCs w:val="22"/>
              </w:rPr>
            </w:pPr>
            <w:r>
              <w:rPr>
                <w:rFonts w:hint="eastAsia" w:ascii="宋体" w:hAnsi="宋体" w:cs="宋体"/>
                <w:sz w:val="22"/>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999" w:type="dxa"/>
            <w:vAlign w:val="center"/>
          </w:tcPr>
          <w:p>
            <w:pPr>
              <w:rPr>
                <w:rFonts w:hAnsi="宋体" w:cs="宋体"/>
                <w:sz w:val="22"/>
              </w:rPr>
            </w:pPr>
            <w:r>
              <w:rPr>
                <w:rFonts w:hint="eastAsia" w:hAnsi="宋体" w:cs="宋体"/>
                <w:sz w:val="22"/>
              </w:rPr>
              <w:t>节能、环境标志、无线局域网产品（2分）</w:t>
            </w:r>
          </w:p>
        </w:tc>
        <w:tc>
          <w:tcPr>
            <w:tcW w:w="5344" w:type="dxa"/>
            <w:gridSpan w:val="2"/>
            <w:vAlign w:val="center"/>
          </w:tcPr>
          <w:p>
            <w:pPr>
              <w:rPr>
                <w:rFonts w:hAnsi="宋体" w:cs="宋体"/>
                <w:sz w:val="22"/>
              </w:rPr>
            </w:pPr>
            <w:r>
              <w:rPr>
                <w:rFonts w:hint="eastAsia" w:hAnsi="宋体" w:cs="宋体"/>
                <w:sz w:val="22"/>
              </w:rPr>
              <w:t>供应商响应产品中每有一项为节能产品或者环境标志产品或者无线局域网产品政府采购清单中的产品的得0.5分，非政府采购节能、环境标志产品的、无线局域网产品的不得分。本项最多得2分。</w:t>
            </w:r>
          </w:p>
        </w:tc>
        <w:tc>
          <w:tcPr>
            <w:tcW w:w="1308" w:type="dxa"/>
            <w:vAlign w:val="center"/>
          </w:tcPr>
          <w:p>
            <w:pPr>
              <w:rPr>
                <w:rFonts w:hAnsi="宋体" w:cs="宋体"/>
                <w:sz w:val="22"/>
              </w:rPr>
            </w:pPr>
            <w:r>
              <w:rPr>
                <w:rFonts w:hint="eastAsia" w:hAnsi="宋体" w:cs="宋体"/>
                <w:sz w:val="22"/>
              </w:rPr>
              <w:t>提供产品对应的清单复印件，以《中国政府采购网》最新颁布清单为准。</w:t>
            </w:r>
          </w:p>
        </w:tc>
        <w:tc>
          <w:tcPr>
            <w:tcW w:w="765" w:type="dxa"/>
            <w:vAlign w:val="center"/>
          </w:tcPr>
          <w:p>
            <w:pPr>
              <w:rPr>
                <w:rFonts w:hAnsi="宋体" w:cs="宋体"/>
                <w:sz w:val="22"/>
              </w:rPr>
            </w:pPr>
            <w:r>
              <w:rPr>
                <w:rFonts w:hint="eastAsia" w:hAnsi="宋体" w:cs="宋体"/>
                <w:sz w:val="22"/>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99" w:type="dxa"/>
            <w:vAlign w:val="center"/>
          </w:tcPr>
          <w:p>
            <w:pPr>
              <w:rPr>
                <w:rFonts w:hAnsi="宋体" w:cs="宋体"/>
                <w:sz w:val="22"/>
              </w:rPr>
            </w:pPr>
            <w:r>
              <w:rPr>
                <w:rFonts w:hint="eastAsia" w:hAnsi="宋体" w:cs="宋体"/>
                <w:sz w:val="22"/>
              </w:rPr>
              <w:t>磋商文件的规范性（1分）</w:t>
            </w:r>
          </w:p>
        </w:tc>
        <w:tc>
          <w:tcPr>
            <w:tcW w:w="5344" w:type="dxa"/>
            <w:gridSpan w:val="2"/>
            <w:vAlign w:val="center"/>
          </w:tcPr>
          <w:p>
            <w:pPr>
              <w:rPr>
                <w:rFonts w:hAnsi="宋体" w:cs="宋体"/>
                <w:sz w:val="22"/>
              </w:rPr>
            </w:pPr>
            <w:r>
              <w:rPr>
                <w:rFonts w:hint="eastAsia" w:hAnsi="宋体" w:cs="宋体"/>
                <w:sz w:val="22"/>
              </w:rPr>
              <w:t>磋商文件制作规范，没有细微偏差情形的得</w:t>
            </w:r>
            <w:r>
              <w:rPr>
                <w:rFonts w:hAnsi="宋体" w:cs="宋体"/>
                <w:sz w:val="22"/>
              </w:rPr>
              <w:t>1分；有一项细微偏差扣0.5分，直至该分项值扣完为止。</w:t>
            </w:r>
          </w:p>
        </w:tc>
        <w:tc>
          <w:tcPr>
            <w:tcW w:w="1308" w:type="dxa"/>
            <w:vAlign w:val="center"/>
          </w:tcPr>
          <w:p>
            <w:pPr>
              <w:rPr>
                <w:rFonts w:hAnsi="宋体" w:cs="宋体"/>
                <w:sz w:val="22"/>
              </w:rPr>
            </w:pPr>
            <w:r>
              <w:rPr>
                <w:rFonts w:hint="eastAsia" w:hAnsi="宋体" w:cs="宋体"/>
                <w:sz w:val="22"/>
              </w:rPr>
              <w:t>/</w:t>
            </w:r>
          </w:p>
        </w:tc>
        <w:tc>
          <w:tcPr>
            <w:tcW w:w="765" w:type="dxa"/>
            <w:vAlign w:val="center"/>
          </w:tcPr>
          <w:p>
            <w:pPr>
              <w:rPr>
                <w:rFonts w:hAnsi="宋体" w:cs="宋体"/>
                <w:sz w:val="22"/>
              </w:rPr>
            </w:pPr>
            <w:r>
              <w:rPr>
                <w:rFonts w:hint="eastAsia" w:hAnsi="宋体" w:cs="宋体"/>
                <w:sz w:val="22"/>
              </w:rPr>
              <w:t>共同评分因素</w:t>
            </w:r>
          </w:p>
        </w:tc>
      </w:tr>
    </w:tbl>
    <w:p>
      <w:pPr>
        <w:spacing w:line="276" w:lineRule="auto"/>
        <w:rPr>
          <w:rFonts w:ascii="仿宋_GB2312" w:eastAsia="仿宋_GB2312"/>
          <w:sz w:val="24"/>
          <w:szCs w:val="24"/>
        </w:rPr>
      </w:pPr>
    </w:p>
    <w:p>
      <w:pPr>
        <w:spacing w:line="400" w:lineRule="exact"/>
        <w:rPr>
          <w:rFonts w:hint="eastAsia" w:ascii="黑体" w:hAnsi="宋体" w:eastAsia="黑体"/>
          <w:sz w:val="32"/>
          <w:szCs w:val="32"/>
        </w:rPr>
      </w:pPr>
      <w:r>
        <w:rPr>
          <w:rFonts w:hint="eastAsia" w:ascii="黑体" w:hAnsi="宋体" w:eastAsia="黑体"/>
          <w:sz w:val="32"/>
          <w:szCs w:val="32"/>
        </w:rPr>
        <w:t>附件3</w:t>
      </w:r>
    </w:p>
    <w:p>
      <w:pPr>
        <w:spacing w:line="240" w:lineRule="atLeast"/>
        <w:jc w:val="center"/>
        <w:rPr>
          <w:rFonts w:hint="eastAsia" w:ascii="黑体" w:hAnsi="宋体" w:eastAsia="黑体"/>
          <w:bCs/>
          <w:sz w:val="32"/>
          <w:szCs w:val="32"/>
        </w:rPr>
      </w:pPr>
    </w:p>
    <w:p>
      <w:pPr>
        <w:spacing w:line="240" w:lineRule="atLeast"/>
        <w:jc w:val="center"/>
        <w:rPr>
          <w:rFonts w:hint="eastAsia"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hint="eastAsia"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hint="eastAsia"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hint="eastAsia"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r>
        <w:rPr>
          <w:rFonts w:hint="eastAsia" w:ascii="仿宋_GB2312" w:hAnsi="宋体" w:eastAsia="仿宋_GB2312"/>
          <w:bCs/>
          <w:spacing w:val="8"/>
          <w:sz w:val="32"/>
          <w:szCs w:val="32"/>
        </w:rPr>
        <w:t>（格式见附件1）</w:t>
      </w:r>
    </w:p>
    <w:p>
      <w:pPr>
        <w:spacing w:line="240" w:lineRule="atLeast"/>
        <w:ind w:firstLine="672" w:firstLineChars="200"/>
        <w:rPr>
          <w:rFonts w:hint="eastAsia"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spacing w:line="240" w:lineRule="atLeast"/>
        <w:ind w:firstLine="672" w:firstLineChars="200"/>
        <w:rPr>
          <w:rFonts w:hint="eastAsia" w:ascii="仿宋_GB2312" w:eastAsia="仿宋_GB2312"/>
          <w:color w:val="C00000"/>
          <w:sz w:val="32"/>
          <w:szCs w:val="32"/>
        </w:rPr>
      </w:pPr>
      <w:r>
        <w:rPr>
          <w:rFonts w:hint="eastAsia" w:ascii="仿宋_GB2312" w:hAnsi="宋体" w:eastAsia="仿宋_GB2312"/>
          <w:bCs/>
          <w:color w:val="C00000"/>
          <w:spacing w:val="8"/>
          <w:sz w:val="32"/>
          <w:szCs w:val="32"/>
        </w:rPr>
        <w:t>5、</w:t>
      </w:r>
      <w:r>
        <w:rPr>
          <w:rFonts w:hint="eastAsia" w:ascii="仿宋_GB2312" w:eastAsia="仿宋_GB2312"/>
          <w:color w:val="C00000"/>
          <w:sz w:val="32"/>
          <w:szCs w:val="32"/>
        </w:rPr>
        <w:t>组织机构代码证、税务登记证（复印件）</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6、法定代表人授权书（原件，格式见附件3）暨经办人授权书，法人、经办人身份证（复印件）</w:t>
      </w:r>
      <w:r>
        <w:rPr>
          <w:rFonts w:hint="eastAsia" w:ascii="仿宋_GB2312" w:eastAsia="仿宋_GB2312"/>
          <w:color w:val="C00000"/>
          <w:sz w:val="32"/>
          <w:szCs w:val="32"/>
        </w:rPr>
        <w:t>资质</w:t>
      </w:r>
      <w:r>
        <w:rPr>
          <w:rFonts w:hint="eastAsia" w:ascii="仿宋_GB2312" w:hAnsi="宋体" w:eastAsia="仿宋_GB2312" w:cs="宋体"/>
          <w:sz w:val="32"/>
          <w:szCs w:val="32"/>
        </w:rPr>
        <w:t>复印件需要盖章。</w:t>
      </w:r>
    </w:p>
    <w:p>
      <w:pPr>
        <w:spacing w:line="240" w:lineRule="atLeast"/>
        <w:ind w:firstLine="640" w:firstLineChars="200"/>
        <w:rPr>
          <w:rFonts w:hint="eastAsia"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hint="eastAsia"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hint="eastAsia"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业绩证明文件（近三年用户名单及联系人与联系方式及合同复印件或近三个月内送货复印件，格式见附件3）。</w:t>
      </w:r>
    </w:p>
    <w:p>
      <w:pPr>
        <w:tabs>
          <w:tab w:val="left" w:pos="0"/>
        </w:tabs>
        <w:spacing w:line="240" w:lineRule="atLeast"/>
        <w:ind w:firstLine="672" w:firstLineChars="200"/>
        <w:rPr>
          <w:rFonts w:hint="eastAsia"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hint="eastAsia" w:ascii="仿宋_GB2312" w:eastAsia="仿宋_GB2312"/>
          <w:b/>
          <w:sz w:val="24"/>
        </w:rPr>
      </w:pPr>
    </w:p>
    <w:p>
      <w:pPr>
        <w:spacing w:line="440" w:lineRule="exact"/>
        <w:ind w:firstLine="487" w:firstLineChars="202"/>
        <w:rPr>
          <w:rFonts w:hint="eastAsia" w:ascii="仿宋_GB2312" w:eastAsia="仿宋_GB2312"/>
          <w:b/>
          <w:sz w:val="24"/>
        </w:rPr>
      </w:pPr>
    </w:p>
    <w:p>
      <w:pPr>
        <w:spacing w:line="44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4</w:t>
      </w:r>
    </w:p>
    <w:p>
      <w:pPr>
        <w:adjustRightInd w:val="0"/>
        <w:spacing w:line="400" w:lineRule="exact"/>
        <w:jc w:val="center"/>
        <w:rPr>
          <w:rFonts w:hint="eastAsia" w:ascii="黑体" w:hAnsi="宋体" w:eastAsia="黑体"/>
          <w:sz w:val="32"/>
          <w:szCs w:val="32"/>
        </w:rPr>
      </w:pPr>
    </w:p>
    <w:p>
      <w:pPr>
        <w:adjustRightInd w:val="0"/>
        <w:spacing w:line="400" w:lineRule="exact"/>
        <w:jc w:val="center"/>
        <w:rPr>
          <w:rFonts w:hint="eastAsia" w:ascii="黑体" w:hAnsi="宋体" w:eastAsia="黑体"/>
          <w:sz w:val="32"/>
          <w:szCs w:val="32"/>
        </w:rPr>
      </w:pPr>
      <w:r>
        <w:rPr>
          <w:rFonts w:hint="eastAsia" w:ascii="黑体" w:hAnsi="宋体" w:eastAsia="黑体"/>
          <w:sz w:val="32"/>
          <w:szCs w:val="32"/>
        </w:rPr>
        <w:t>报价一览表</w:t>
      </w:r>
    </w:p>
    <w:p>
      <w:pPr>
        <w:jc w:val="center"/>
        <w:rPr>
          <w:rFonts w:hint="eastAsia" w:ascii="仿宋_GB2312" w:hAnsi="宋体" w:eastAsia="仿宋_GB2312"/>
          <w:b/>
          <w:sz w:val="24"/>
        </w:rPr>
      </w:pPr>
    </w:p>
    <w:tbl>
      <w:tblPr>
        <w:tblStyle w:val="7"/>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方正超大字符集"/>
                <w:sz w:val="24"/>
              </w:rPr>
            </w:pPr>
            <w:r>
              <w:rPr>
                <w:rFonts w:hint="eastAsia" w:ascii="仿宋_GB2312" w:hAnsi="宋体" w:eastAsia="仿宋_GB2312" w:cs="宋体-方正超大字符集"/>
                <w:sz w:val="24"/>
              </w:rPr>
              <w:t>数量</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宋体-方正超大字符集"/>
                <w:sz w:val="24"/>
              </w:rPr>
            </w:pPr>
            <w:r>
              <w:rPr>
                <w:rFonts w:hint="eastAsia" w:ascii="仿宋_GB2312" w:hAnsi="宋体" w:eastAsia="仿宋_GB2312" w:cs="宋体-方正超大字符集"/>
                <w:sz w:val="24"/>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金额（万元）</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c>
          <w:tcPr>
            <w:tcW w:w="168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sz w:val="24"/>
              </w:rPr>
            </w:pPr>
            <w:r>
              <w:rPr>
                <w:rFonts w:hint="eastAsia" w:ascii="仿宋_GB2312" w:hAnsi="宋体" w:eastAsia="仿宋_GB2312"/>
                <w:b/>
                <w:sz w:val="24"/>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sz w:val="24"/>
              </w:rPr>
            </w:pPr>
          </w:p>
        </w:tc>
      </w:tr>
    </w:tbl>
    <w:p>
      <w:pPr>
        <w:spacing w:line="400" w:lineRule="exact"/>
        <w:jc w:val="left"/>
        <w:rPr>
          <w:rFonts w:hint="eastAsia" w:ascii="仿宋_GB2312" w:hAnsi="宋体" w:eastAsia="仿宋_GB2312"/>
          <w:sz w:val="24"/>
        </w:rPr>
      </w:pPr>
      <w:r>
        <w:rPr>
          <w:rFonts w:hint="eastAsia" w:ascii="仿宋_GB2312" w:hAnsi="宋体" w:eastAsia="仿宋_GB2312"/>
          <w:sz w:val="24"/>
        </w:rPr>
        <w:t>注：1.报价应是最终用户验收合格后的总价，税费、采购文件规定的其它费用。</w:t>
      </w:r>
    </w:p>
    <w:p>
      <w:pPr>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2.“报价一览表”为多页的，每页均需由法定代表人或授权代表签字并盖投标人印章。</w:t>
      </w:r>
    </w:p>
    <w:p>
      <w:pPr>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3.“报价一览表”需单独密封。</w:t>
      </w:r>
    </w:p>
    <w:p>
      <w:pPr>
        <w:adjustRightInd w:val="0"/>
        <w:spacing w:line="400" w:lineRule="exact"/>
        <w:jc w:val="left"/>
        <w:rPr>
          <w:rFonts w:hint="eastAsia" w:ascii="仿宋_GB2312" w:hAnsi="宋体" w:eastAsia="仿宋_GB2312"/>
          <w:sz w:val="24"/>
        </w:rPr>
      </w:pPr>
      <w:r>
        <w:rPr>
          <w:rFonts w:hint="eastAsia" w:ascii="仿宋_GB2312" w:hAnsi="宋体" w:eastAsia="仿宋_GB2312"/>
          <w:sz w:val="24"/>
        </w:rPr>
        <w:t xml:space="preserve">供应商名称（盖章）：        </w:t>
      </w:r>
    </w:p>
    <w:p>
      <w:pPr>
        <w:adjustRightInd w:val="0"/>
        <w:spacing w:line="400" w:lineRule="exact"/>
        <w:jc w:val="left"/>
        <w:rPr>
          <w:rFonts w:hint="eastAsia" w:ascii="仿宋_GB2312" w:hAnsi="宋体" w:eastAsia="仿宋_GB2312"/>
          <w:sz w:val="24"/>
        </w:rPr>
      </w:pPr>
      <w:r>
        <w:rPr>
          <w:rFonts w:hint="eastAsia" w:ascii="仿宋_GB2312" w:hAnsi="宋体" w:eastAsia="仿宋_GB2312"/>
          <w:sz w:val="24"/>
        </w:rPr>
        <w:t xml:space="preserve">法定代表人或授权代表（签字）：                 </w:t>
      </w:r>
      <w:r>
        <w:rPr>
          <w:rFonts w:hint="eastAsia" w:ascii="仿宋_GB2312" w:hAnsi="宋体" w:eastAsia="仿宋_GB2312"/>
          <w:bCs/>
          <w:sz w:val="24"/>
        </w:rPr>
        <w:t>联系方式：</w:t>
      </w:r>
      <w:r>
        <w:rPr>
          <w:rFonts w:hint="eastAsia" w:ascii="仿宋_GB2312" w:hAnsi="宋体" w:eastAsia="仿宋_GB2312"/>
          <w:bCs/>
          <w:sz w:val="24"/>
          <w:u w:val="single"/>
        </w:rPr>
        <w:t xml:space="preserve">        </w:t>
      </w:r>
    </w:p>
    <w:p>
      <w:pPr>
        <w:spacing w:line="400" w:lineRule="exact"/>
        <w:ind w:firstLine="480"/>
        <w:rPr>
          <w:rFonts w:hint="eastAsia" w:ascii="仿宋_GB2312" w:hAnsi="宋体" w:eastAsia="仿宋_GB2312"/>
          <w:b/>
          <w:bCs/>
          <w:sz w:val="24"/>
        </w:rPr>
      </w:pPr>
      <w:r>
        <w:rPr>
          <w:rFonts w:hint="eastAsia" w:ascii="仿宋_GB2312" w:hAnsi="宋体" w:eastAsia="仿宋_GB2312"/>
          <w:sz w:val="24"/>
        </w:rPr>
        <w:t>日期：</w:t>
      </w:r>
    </w:p>
    <w:p>
      <w:pPr>
        <w:spacing w:line="0" w:lineRule="atLeast"/>
        <w:rPr>
          <w:rFonts w:hint="eastAsia" w:ascii="仿宋_GB2312" w:hAnsi="宋体" w:eastAsia="仿宋_GB2312"/>
          <w:bCs/>
          <w:sz w:val="24"/>
          <w:u w:val="single"/>
        </w:rPr>
      </w:pPr>
    </w:p>
    <w:p>
      <w:pPr>
        <w:spacing w:line="0" w:lineRule="atLeast"/>
        <w:rPr>
          <w:rFonts w:hint="eastAsia" w:ascii="仿宋_GB2312" w:hAnsi="宋体" w:eastAsia="仿宋_GB2312"/>
          <w:bCs/>
          <w:sz w:val="24"/>
          <w:u w:val="single"/>
        </w:rPr>
      </w:pPr>
    </w:p>
    <w:p>
      <w:pPr>
        <w:spacing w:line="0" w:lineRule="atLeast"/>
        <w:rPr>
          <w:rFonts w:hint="eastAsia" w:ascii="仿宋_GB2312" w:hAnsi="宋体" w:eastAsia="仿宋_GB2312"/>
          <w:bCs/>
          <w:sz w:val="24"/>
          <w:u w:val="single"/>
        </w:rPr>
      </w:pPr>
    </w:p>
    <w:p>
      <w:pPr>
        <w:jc w:val="center"/>
        <w:rPr>
          <w:rFonts w:hint="eastAsia" w:ascii="黑体" w:eastAsia="黑体"/>
          <w:sz w:val="32"/>
          <w:szCs w:val="32"/>
        </w:rPr>
      </w:pPr>
      <w:r>
        <w:rPr>
          <w:rFonts w:hint="eastAsia" w:ascii="黑体" w:eastAsia="黑体"/>
          <w:sz w:val="32"/>
          <w:szCs w:val="32"/>
        </w:rPr>
        <w:t>项目业绩表</w:t>
      </w:r>
    </w:p>
    <w:tbl>
      <w:tblPr>
        <w:tblStyle w:val="7"/>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56" w:type="dxa"/>
            <w:vMerge w:val="restart"/>
            <w:vAlign w:val="center"/>
          </w:tcPr>
          <w:p>
            <w:pPr>
              <w:jc w:val="center"/>
              <w:rPr>
                <w:rFonts w:hint="eastAsia" w:ascii="仿宋_GB2312" w:eastAsia="仿宋_GB2312"/>
                <w:sz w:val="24"/>
              </w:rPr>
            </w:pPr>
            <w:r>
              <w:rPr>
                <w:rFonts w:hint="eastAsia" w:ascii="仿宋_GB2312" w:eastAsia="仿宋_GB2312"/>
                <w:sz w:val="24"/>
              </w:rPr>
              <w:t>省外省级以上单位用户</w:t>
            </w:r>
          </w:p>
        </w:tc>
        <w:tc>
          <w:tcPr>
            <w:tcW w:w="1824" w:type="dxa"/>
          </w:tcPr>
          <w:p>
            <w:pPr>
              <w:jc w:val="center"/>
              <w:rPr>
                <w:rFonts w:hint="eastAsia" w:ascii="仿宋_GB2312" w:eastAsia="仿宋_GB2312"/>
                <w:sz w:val="24"/>
              </w:rPr>
            </w:pPr>
            <w:r>
              <w:rPr>
                <w:rFonts w:hint="eastAsia" w:ascii="仿宋_GB2312" w:eastAsia="仿宋_GB2312"/>
                <w:sz w:val="24"/>
              </w:rPr>
              <w:t>用户名称</w:t>
            </w:r>
          </w:p>
        </w:tc>
        <w:tc>
          <w:tcPr>
            <w:tcW w:w="1110" w:type="dxa"/>
          </w:tcPr>
          <w:p>
            <w:pPr>
              <w:jc w:val="center"/>
              <w:rPr>
                <w:rFonts w:hint="eastAsia" w:ascii="仿宋_GB2312" w:eastAsia="仿宋_GB2312"/>
                <w:sz w:val="24"/>
              </w:rPr>
            </w:pPr>
            <w:r>
              <w:rPr>
                <w:rFonts w:hint="eastAsia" w:ascii="仿宋_GB2312" w:eastAsia="仿宋_GB2312"/>
                <w:sz w:val="24"/>
              </w:rPr>
              <w:t>数量</w:t>
            </w:r>
          </w:p>
        </w:tc>
        <w:tc>
          <w:tcPr>
            <w:tcW w:w="1770" w:type="dxa"/>
          </w:tcPr>
          <w:p>
            <w:pPr>
              <w:rPr>
                <w:rFonts w:hint="eastAsia" w:ascii="仿宋_GB2312" w:eastAsia="仿宋_GB2312"/>
                <w:sz w:val="24"/>
              </w:rPr>
            </w:pPr>
            <w:r>
              <w:rPr>
                <w:rFonts w:hint="eastAsia" w:ascii="仿宋_GB2312" w:eastAsia="仿宋_GB2312"/>
                <w:sz w:val="24"/>
              </w:rPr>
              <w:t>合同签订日期</w:t>
            </w:r>
          </w:p>
        </w:tc>
        <w:tc>
          <w:tcPr>
            <w:tcW w:w="1260" w:type="dxa"/>
          </w:tcPr>
          <w:p>
            <w:pPr>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jc w:val="center"/>
              <w:rPr>
                <w:rFonts w:hint="eastAsia" w:ascii="仿宋_GB2312" w:eastAsia="仿宋_GB2312"/>
                <w:sz w:val="24"/>
              </w:rPr>
            </w:pPr>
          </w:p>
        </w:tc>
        <w:tc>
          <w:tcPr>
            <w:tcW w:w="1110" w:type="dxa"/>
          </w:tcPr>
          <w:p>
            <w:pPr>
              <w:jc w:val="center"/>
              <w:rPr>
                <w:rFonts w:hint="eastAsia" w:ascii="仿宋_GB2312" w:eastAsia="仿宋_GB2312"/>
                <w:sz w:val="24"/>
              </w:rPr>
            </w:pPr>
          </w:p>
        </w:tc>
        <w:tc>
          <w:tcPr>
            <w:tcW w:w="1770" w:type="dxa"/>
          </w:tcPr>
          <w:p>
            <w:pPr>
              <w:jc w:val="center"/>
              <w:rPr>
                <w:rFonts w:hint="eastAsia" w:ascii="仿宋_GB2312" w:eastAsia="仿宋_GB2312"/>
                <w:sz w:val="24"/>
              </w:rPr>
            </w:pPr>
          </w:p>
        </w:tc>
        <w:tc>
          <w:tcPr>
            <w:tcW w:w="1260" w:type="dxa"/>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jc w:val="center"/>
              <w:rPr>
                <w:rFonts w:hint="eastAsia" w:ascii="仿宋_GB2312" w:eastAsia="仿宋_GB2312"/>
                <w:sz w:val="24"/>
              </w:rPr>
            </w:pPr>
          </w:p>
        </w:tc>
        <w:tc>
          <w:tcPr>
            <w:tcW w:w="1110" w:type="dxa"/>
          </w:tcPr>
          <w:p>
            <w:pPr>
              <w:jc w:val="center"/>
              <w:rPr>
                <w:rFonts w:hint="eastAsia" w:ascii="仿宋_GB2312" w:eastAsia="仿宋_GB2312"/>
                <w:sz w:val="24"/>
              </w:rPr>
            </w:pPr>
          </w:p>
        </w:tc>
        <w:tc>
          <w:tcPr>
            <w:tcW w:w="1770" w:type="dxa"/>
          </w:tcPr>
          <w:p>
            <w:pPr>
              <w:jc w:val="center"/>
              <w:rPr>
                <w:rFonts w:hint="eastAsia" w:ascii="仿宋_GB2312" w:eastAsia="仿宋_GB2312"/>
                <w:sz w:val="24"/>
              </w:rPr>
            </w:pPr>
          </w:p>
        </w:tc>
        <w:tc>
          <w:tcPr>
            <w:tcW w:w="1260" w:type="dxa"/>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restart"/>
            <w:vAlign w:val="center"/>
          </w:tcPr>
          <w:p>
            <w:pPr>
              <w:jc w:val="center"/>
              <w:rPr>
                <w:rFonts w:hint="eastAsia" w:ascii="仿宋_GB2312" w:eastAsia="仿宋_GB2312"/>
                <w:sz w:val="24"/>
              </w:rPr>
            </w:pPr>
            <w:r>
              <w:rPr>
                <w:rFonts w:hint="eastAsia" w:ascii="仿宋_GB2312" w:eastAsia="仿宋_GB2312"/>
                <w:sz w:val="24"/>
              </w:rPr>
              <w:t>省内省级单位用户</w:t>
            </w: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56" w:type="dxa"/>
            <w:vMerge w:val="continue"/>
            <w:vAlign w:val="center"/>
          </w:tcPr>
          <w:p>
            <w:pPr>
              <w:jc w:val="cente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restart"/>
            <w:vAlign w:val="center"/>
          </w:tcPr>
          <w:p>
            <w:pPr>
              <w:jc w:val="center"/>
              <w:rPr>
                <w:rFonts w:hint="eastAsia" w:ascii="仿宋_GB2312" w:eastAsia="仿宋_GB2312"/>
                <w:sz w:val="24"/>
              </w:rPr>
            </w:pPr>
            <w:r>
              <w:rPr>
                <w:rFonts w:hint="eastAsia" w:ascii="仿宋_GB2312" w:eastAsia="仿宋_GB2312"/>
                <w:sz w:val="24"/>
              </w:rPr>
              <w:t>省内其他用户</w:t>
            </w: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6" w:type="dxa"/>
            <w:vMerge w:val="continue"/>
          </w:tcPr>
          <w:p>
            <w:pPr>
              <w:rPr>
                <w:rFonts w:hint="eastAsia" w:ascii="仿宋_GB2312" w:eastAsia="仿宋_GB2312"/>
                <w:sz w:val="24"/>
              </w:rPr>
            </w:pPr>
          </w:p>
        </w:tc>
        <w:tc>
          <w:tcPr>
            <w:tcW w:w="1824" w:type="dxa"/>
          </w:tcPr>
          <w:p>
            <w:pPr>
              <w:rPr>
                <w:rFonts w:hint="eastAsia" w:ascii="仿宋_GB2312" w:eastAsia="仿宋_GB2312"/>
                <w:sz w:val="24"/>
              </w:rPr>
            </w:pPr>
          </w:p>
        </w:tc>
        <w:tc>
          <w:tcPr>
            <w:tcW w:w="1110" w:type="dxa"/>
          </w:tcPr>
          <w:p>
            <w:pPr>
              <w:rPr>
                <w:rFonts w:hint="eastAsia" w:ascii="仿宋_GB2312" w:eastAsia="仿宋_GB2312"/>
                <w:sz w:val="24"/>
              </w:rPr>
            </w:pPr>
          </w:p>
        </w:tc>
        <w:tc>
          <w:tcPr>
            <w:tcW w:w="1770" w:type="dxa"/>
          </w:tcPr>
          <w:p>
            <w:pPr>
              <w:rPr>
                <w:rFonts w:hint="eastAsia" w:ascii="仿宋_GB2312" w:eastAsia="仿宋_GB2312"/>
                <w:sz w:val="24"/>
              </w:rPr>
            </w:pPr>
          </w:p>
        </w:tc>
        <w:tc>
          <w:tcPr>
            <w:tcW w:w="1260" w:type="dxa"/>
          </w:tcPr>
          <w:p>
            <w:pPr>
              <w:rPr>
                <w:rFonts w:hint="eastAsia" w:ascii="仿宋_GB2312" w:eastAsia="仿宋_GB2312"/>
                <w:sz w:val="24"/>
              </w:rPr>
            </w:pPr>
          </w:p>
        </w:tc>
      </w:tr>
    </w:tbl>
    <w:p>
      <w:pPr>
        <w:rPr>
          <w:rFonts w:hint="eastAsia" w:ascii="仿宋_GB2312" w:eastAsia="仿宋_GB2312"/>
          <w:sz w:val="24"/>
        </w:rPr>
      </w:pPr>
      <w:r>
        <w:rPr>
          <w:rFonts w:hint="eastAsia" w:ascii="仿宋_GB2312" w:eastAsia="仿宋_GB2312"/>
          <w:sz w:val="24"/>
        </w:rPr>
        <w:t>说明：1、表中项目为近三年销售业绩，用户仍在合作；2、只填写与本次市场调研项目一致。</w:t>
      </w:r>
    </w:p>
    <w:p>
      <w:pPr>
        <w:spacing w:line="400" w:lineRule="exact"/>
        <w:rPr>
          <w:rFonts w:hint="eastAsia" w:ascii="仿宋_GB2312" w:eastAsia="仿宋_GB2312"/>
          <w:sz w:val="28"/>
          <w:szCs w:val="28"/>
        </w:rPr>
      </w:pPr>
    </w:p>
    <w:p>
      <w:pPr>
        <w:tabs>
          <w:tab w:val="left" w:pos="6645"/>
        </w:tabs>
        <w:spacing w:line="360" w:lineRule="auto"/>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5</w:t>
      </w:r>
    </w:p>
    <w:p>
      <w:pPr>
        <w:tabs>
          <w:tab w:val="left" w:pos="6645"/>
        </w:tabs>
        <w:spacing w:line="360" w:lineRule="auto"/>
        <w:jc w:val="center"/>
        <w:rPr>
          <w:rFonts w:hint="eastAsia" w:ascii="黑体" w:eastAsia="黑体"/>
          <w:sz w:val="32"/>
          <w:szCs w:val="32"/>
        </w:rPr>
      </w:pPr>
      <w:r>
        <w:rPr>
          <w:rFonts w:hint="eastAsia" w:ascii="黑体" w:eastAsia="黑体"/>
          <w:sz w:val="32"/>
          <w:szCs w:val="32"/>
        </w:rPr>
        <w:t>反商业贿赂承诺书</w:t>
      </w:r>
    </w:p>
    <w:p>
      <w:pPr>
        <w:ind w:firstLine="600" w:firstLineChars="200"/>
        <w:rPr>
          <w:rFonts w:hint="eastAsia"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hint="eastAsia"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w:t>
      </w:r>
      <w:bookmarkStart w:id="0" w:name="_GoBack"/>
      <w:bookmarkEnd w:id="0"/>
      <w:r>
        <w:rPr>
          <w:rFonts w:hint="eastAsia" w:ascii="仿宋_GB2312" w:eastAsia="仿宋_GB2312"/>
          <w:sz w:val="30"/>
          <w:szCs w:val="30"/>
        </w:rPr>
        <w:t>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hint="eastAsia"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hint="eastAsia"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hint="eastAsia"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hint="eastAsia"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hint="eastAsia"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hint="eastAsia"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hint="eastAsia"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hint="eastAsia"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hint="eastAsia"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hint="eastAsia"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hint="eastAsia" w:ascii="仿宋_GB2312" w:eastAsia="仿宋_GB2312"/>
          <w:sz w:val="30"/>
          <w:szCs w:val="30"/>
        </w:rPr>
      </w:pPr>
      <w:r>
        <w:rPr>
          <w:rFonts w:hint="eastAsia" w:ascii="仿宋_GB2312" w:eastAsia="仿宋_GB2312"/>
          <w:sz w:val="30"/>
          <w:szCs w:val="30"/>
        </w:rPr>
        <w:t>三、本厂家、商家、公司保证竭力维护贵院的声誉，不做任何有损贵院形象的事情。</w:t>
      </w:r>
    </w:p>
    <w:p>
      <w:pPr>
        <w:ind w:firstLine="600" w:firstLineChars="200"/>
        <w:rPr>
          <w:rFonts w:hint="eastAsia" w:ascii="仿宋_GB2312" w:eastAsia="仿宋_GB2312"/>
          <w:sz w:val="30"/>
          <w:szCs w:val="30"/>
        </w:rPr>
      </w:pPr>
      <w:r>
        <w:rPr>
          <w:rFonts w:hint="eastAsia" w:ascii="仿宋_GB2312" w:eastAsia="仿宋_GB2312"/>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hint="eastAsia" w:ascii="仿宋_GB2312" w:eastAsia="仿宋_GB2312"/>
          <w:sz w:val="30"/>
          <w:szCs w:val="30"/>
        </w:rPr>
      </w:pPr>
      <w:r>
        <w:rPr>
          <w:rFonts w:hint="eastAsia" w:ascii="仿宋_GB2312" w:eastAsia="仿宋_GB2312"/>
          <w:sz w:val="30"/>
          <w:szCs w:val="30"/>
        </w:rPr>
        <w:t>五、对本厂家、商家、公司及本厂家、商家、公司工作人员采取以上手段竞标、促销等，干扰贵院正常工作秩序，损害贵院形象的，本厂家、商家、公司保证：</w:t>
      </w:r>
    </w:p>
    <w:p>
      <w:pPr>
        <w:ind w:firstLine="600" w:firstLineChars="200"/>
        <w:rPr>
          <w:rFonts w:hint="eastAsia"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hint="eastAsia"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hint="eastAsia"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hint="eastAsia" w:ascii="仿宋_GB2312" w:eastAsia="仿宋_GB2312"/>
          <w:sz w:val="30"/>
          <w:szCs w:val="30"/>
        </w:rPr>
      </w:pPr>
      <w:r>
        <w:rPr>
          <w:rFonts w:hint="eastAsia" w:ascii="仿宋_GB2312" w:eastAsia="仿宋_GB2312"/>
          <w:sz w:val="30"/>
          <w:szCs w:val="30"/>
        </w:rPr>
        <w:t>本《承诺书》一式二份（一份由承诺人自存；一份随竞价书传递）</w:t>
      </w:r>
    </w:p>
    <w:p>
      <w:pPr>
        <w:ind w:firstLine="600" w:firstLineChars="200"/>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 xml:space="preserve">承诺企业名称（公章）                  </w:t>
      </w:r>
    </w:p>
    <w:p>
      <w:pPr>
        <w:rPr>
          <w:rFonts w:hint="eastAsia" w:ascii="仿宋_GB2312" w:eastAsia="仿宋_GB2312"/>
          <w:sz w:val="30"/>
          <w:szCs w:val="30"/>
        </w:rPr>
      </w:pPr>
      <w:r>
        <w:rPr>
          <w:rFonts w:hint="eastAsia" w:ascii="仿宋_GB2312" w:eastAsia="仿宋_GB2312"/>
          <w:sz w:val="30"/>
          <w:szCs w:val="30"/>
        </w:rPr>
        <w:t>法人代表或委托代理人（承诺人）</w:t>
      </w:r>
    </w:p>
    <w:p>
      <w:pPr>
        <w:rPr>
          <w:b/>
        </w:rPr>
      </w:pPr>
    </w:p>
    <w:p>
      <w:pPr>
        <w:rPr>
          <w:rFonts w:hint="eastAsia"/>
        </w:rPr>
      </w:pPr>
    </w:p>
    <w:p>
      <w:pPr>
        <w:spacing w:line="440" w:lineRule="exact"/>
        <w:ind w:firstLine="484" w:firstLineChars="202"/>
        <w:rPr>
          <w:rFonts w:ascii="仿宋_GB2312" w:eastAsia="仿宋_GB2312"/>
          <w:sz w:val="24"/>
          <w:szCs w:val="24"/>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4A7"/>
    <w:rsid w:val="00010BBB"/>
    <w:rsid w:val="000744A7"/>
    <w:rsid w:val="000D3C3E"/>
    <w:rsid w:val="00100BF5"/>
    <w:rsid w:val="00110EBD"/>
    <w:rsid w:val="001808CF"/>
    <w:rsid w:val="00182FD7"/>
    <w:rsid w:val="001E4857"/>
    <w:rsid w:val="002A0CA0"/>
    <w:rsid w:val="002B2A3A"/>
    <w:rsid w:val="002C6115"/>
    <w:rsid w:val="002D7865"/>
    <w:rsid w:val="00352B9E"/>
    <w:rsid w:val="00411A0E"/>
    <w:rsid w:val="00414DB1"/>
    <w:rsid w:val="00491AD2"/>
    <w:rsid w:val="00493EEF"/>
    <w:rsid w:val="004B575E"/>
    <w:rsid w:val="004F2B54"/>
    <w:rsid w:val="00554BB3"/>
    <w:rsid w:val="00571DC5"/>
    <w:rsid w:val="0059293E"/>
    <w:rsid w:val="0059687C"/>
    <w:rsid w:val="005C2771"/>
    <w:rsid w:val="005D411A"/>
    <w:rsid w:val="005F3376"/>
    <w:rsid w:val="00634CF9"/>
    <w:rsid w:val="00674BCB"/>
    <w:rsid w:val="00677327"/>
    <w:rsid w:val="006C2FE9"/>
    <w:rsid w:val="006C36C2"/>
    <w:rsid w:val="006F208B"/>
    <w:rsid w:val="006F679A"/>
    <w:rsid w:val="00721A4E"/>
    <w:rsid w:val="007241AA"/>
    <w:rsid w:val="00727125"/>
    <w:rsid w:val="00756E86"/>
    <w:rsid w:val="007C7DFF"/>
    <w:rsid w:val="00812A29"/>
    <w:rsid w:val="00846FD6"/>
    <w:rsid w:val="0089046F"/>
    <w:rsid w:val="0093774F"/>
    <w:rsid w:val="00947FB3"/>
    <w:rsid w:val="00956D52"/>
    <w:rsid w:val="009709A1"/>
    <w:rsid w:val="00990DBF"/>
    <w:rsid w:val="009E0320"/>
    <w:rsid w:val="009E0D42"/>
    <w:rsid w:val="00A45A43"/>
    <w:rsid w:val="00A67D09"/>
    <w:rsid w:val="00B061BB"/>
    <w:rsid w:val="00BC58E7"/>
    <w:rsid w:val="00C55E0B"/>
    <w:rsid w:val="00CA1B03"/>
    <w:rsid w:val="00CE50D0"/>
    <w:rsid w:val="00D203D5"/>
    <w:rsid w:val="00D30BA5"/>
    <w:rsid w:val="00D61936"/>
    <w:rsid w:val="00DC6A7F"/>
    <w:rsid w:val="00DE5470"/>
    <w:rsid w:val="00F01EB3"/>
    <w:rsid w:val="00F56ED3"/>
    <w:rsid w:val="00F74D4C"/>
    <w:rsid w:val="00F76D07"/>
    <w:rsid w:val="00F7724B"/>
    <w:rsid w:val="00FD4B83"/>
    <w:rsid w:val="00FE7B04"/>
    <w:rsid w:val="00FF684B"/>
    <w:rsid w:val="09E26717"/>
    <w:rsid w:val="7A661B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customStyle="1" w:styleId="8">
    <w:name w:val="页眉 Char"/>
    <w:basedOn w:val="5"/>
    <w:link w:val="3"/>
    <w:semiHidden/>
    <w:qFormat/>
    <w:locked/>
    <w:uiPriority w:val="99"/>
    <w:rPr>
      <w:sz w:val="18"/>
      <w:szCs w:val="18"/>
    </w:rPr>
  </w:style>
  <w:style w:type="character" w:customStyle="1" w:styleId="9">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2227</Words>
  <Characters>12697</Characters>
  <Lines>105</Lines>
  <Paragraphs>29</Paragraphs>
  <TotalTime>84</TotalTime>
  <ScaleCrop>false</ScaleCrop>
  <LinksUpToDate>false</LinksUpToDate>
  <CharactersWithSpaces>14895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2016-11-16T02:33:00Z</dcterms:created>
  <dc:creator>lenovo</dc:creator>
  <cp:lastModifiedBy>lenovo</cp:lastModifiedBy>
  <dcterms:modified xsi:type="dcterms:W3CDTF">2019-01-07T08:55:20Z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