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color w:val="000000"/>
          <w:kern w:val="0"/>
          <w:sz w:val="32"/>
          <w:szCs w:val="32"/>
        </w:rPr>
      </w:pPr>
      <w:r>
        <w:rPr>
          <w:rFonts w:hint="eastAsia" w:ascii="黑体" w:hAnsi="宋体" w:eastAsia="黑体" w:cs="黑体"/>
          <w:color w:val="000000"/>
          <w:kern w:val="0"/>
          <w:sz w:val="32"/>
          <w:szCs w:val="32"/>
        </w:rPr>
        <w:t>附件</w:t>
      </w:r>
      <w:r>
        <w:rPr>
          <w:rFonts w:ascii="黑体" w:hAnsi="宋体" w:eastAsia="黑体" w:cs="黑体"/>
          <w:color w:val="000000"/>
          <w:kern w:val="0"/>
          <w:sz w:val="32"/>
          <w:szCs w:val="32"/>
        </w:rPr>
        <w:t>1</w:t>
      </w:r>
    </w:p>
    <w:p>
      <w:pPr>
        <w:spacing w:line="440" w:lineRule="exact"/>
        <w:ind w:firstLine="646" w:firstLineChars="202"/>
        <w:rPr>
          <w:rFonts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6" w:firstLineChars="202"/>
        <w:jc w:val="center"/>
        <w:textAlignment w:val="auto"/>
        <w:outlineLvl w:val="9"/>
        <w:rPr>
          <w:rFonts w:hint="eastAsia" w:ascii="黑体" w:eastAsia="黑体" w:cs="黑体"/>
          <w:sz w:val="32"/>
          <w:szCs w:val="32"/>
          <w:lang w:val="en-US" w:eastAsia="zh-CN"/>
        </w:rPr>
      </w:pPr>
      <w:r>
        <w:rPr>
          <w:rFonts w:hint="default" w:ascii="黑体" w:eastAsia="黑体" w:cs="黑体"/>
          <w:sz w:val="32"/>
          <w:szCs w:val="32"/>
          <w:lang w:val="en-US" w:eastAsia="zh-CN"/>
        </w:rPr>
        <w:t>四川省妇幼保健院</w:t>
      </w:r>
      <w:r>
        <w:rPr>
          <w:rFonts w:hint="eastAsia" w:ascii="黑体" w:eastAsia="黑体" w:cs="黑体"/>
          <w:sz w:val="32"/>
          <w:szCs w:val="32"/>
          <w:lang w:val="en-US" w:eastAsia="zh-CN"/>
        </w:rPr>
        <w:t xml:space="preserve">  四川省妇女儿童医院 </w:t>
      </w:r>
    </w:p>
    <w:p>
      <w:pPr>
        <w:keepNext w:val="0"/>
        <w:keepLines w:val="0"/>
        <w:pageBreakBefore w:val="0"/>
        <w:widowControl w:val="0"/>
        <w:kinsoku/>
        <w:wordWrap/>
        <w:overflowPunct/>
        <w:topLinePunct w:val="0"/>
        <w:autoSpaceDE/>
        <w:autoSpaceDN/>
        <w:bidi w:val="0"/>
        <w:adjustRightInd/>
        <w:snapToGrid/>
        <w:spacing w:line="360" w:lineRule="auto"/>
        <w:ind w:firstLine="646" w:firstLineChars="202"/>
        <w:jc w:val="center"/>
        <w:textAlignment w:val="auto"/>
        <w:outlineLvl w:val="9"/>
        <w:rPr>
          <w:rFonts w:hint="eastAsia" w:ascii="黑体" w:eastAsia="黑体" w:cs="黑体"/>
          <w:sz w:val="32"/>
          <w:szCs w:val="32"/>
          <w:lang w:val="en-US" w:eastAsia="zh-CN"/>
        </w:rPr>
      </w:pPr>
      <w:r>
        <w:rPr>
          <w:rFonts w:hint="eastAsia" w:ascii="黑体" w:eastAsia="黑体" w:cs="黑体"/>
          <w:sz w:val="32"/>
          <w:szCs w:val="32"/>
          <w:lang w:val="en-US" w:eastAsia="zh-CN"/>
        </w:rPr>
        <w:t>门诊楼广场旗帜制作、安装工程</w:t>
      </w:r>
    </w:p>
    <w:p>
      <w:pPr>
        <w:keepNext w:val="0"/>
        <w:keepLines w:val="0"/>
        <w:pageBreakBefore w:val="0"/>
        <w:widowControl w:val="0"/>
        <w:kinsoku/>
        <w:wordWrap/>
        <w:overflowPunct/>
        <w:topLinePunct w:val="0"/>
        <w:autoSpaceDE/>
        <w:autoSpaceDN/>
        <w:bidi w:val="0"/>
        <w:adjustRightInd/>
        <w:snapToGrid/>
        <w:spacing w:line="360" w:lineRule="auto"/>
        <w:ind w:firstLine="646" w:firstLineChars="202"/>
        <w:jc w:val="center"/>
        <w:textAlignment w:val="auto"/>
        <w:outlineLvl w:val="9"/>
        <w:rPr>
          <w:rFonts w:hint="eastAsia" w:ascii="黑体" w:eastAsia="黑体"/>
          <w:sz w:val="32"/>
          <w:szCs w:val="32"/>
          <w:lang w:eastAsia="zh-CN"/>
        </w:rPr>
      </w:pPr>
      <w:r>
        <w:rPr>
          <w:rFonts w:hint="eastAsia" w:ascii="黑体" w:eastAsia="黑体" w:cs="黑体"/>
          <w:sz w:val="32"/>
          <w:szCs w:val="32"/>
          <w:lang w:val="en-US" w:eastAsia="zh-CN"/>
        </w:rPr>
        <w:t>服务要求</w:t>
      </w:r>
      <w:r>
        <w:rPr>
          <w:rFonts w:hint="eastAsia" w:ascii="黑体" w:eastAsia="黑体" w:cs="黑体"/>
          <w:sz w:val="32"/>
          <w:szCs w:val="32"/>
          <w:lang w:eastAsia="zh-CN"/>
        </w:rPr>
        <w:t>（市场调研）</w:t>
      </w:r>
    </w:p>
    <w:p>
      <w:pPr>
        <w:spacing w:line="440" w:lineRule="exact"/>
        <w:ind w:firstLine="487" w:firstLineChars="202"/>
        <w:rPr>
          <w:rFonts w:ascii="仿宋_GB2312" w:eastAsia="仿宋_GB2312"/>
          <w:b/>
          <w:bCs/>
          <w:sz w:val="24"/>
          <w:szCs w:val="24"/>
        </w:rPr>
      </w:pPr>
      <w:r>
        <w:rPr>
          <w:rFonts w:hint="eastAsia" w:ascii="仿宋_GB2312" w:eastAsia="仿宋_GB2312" w:cs="仿宋_GB2312"/>
          <w:b/>
          <w:bCs/>
          <w:sz w:val="24"/>
          <w:szCs w:val="24"/>
        </w:rPr>
        <w:t>一、项目概况</w:t>
      </w:r>
    </w:p>
    <w:p>
      <w:pPr>
        <w:numPr>
          <w:ilvl w:val="0"/>
          <w:numId w:val="1"/>
        </w:numPr>
        <w:spacing w:line="440" w:lineRule="exact"/>
        <w:ind w:left="0" w:leftChars="0" w:firstLine="400" w:firstLineChars="0"/>
        <w:rPr>
          <w:rFonts w:hint="default" w:ascii="仿宋_GB2312" w:eastAsia="仿宋_GB2312" w:cs="仿宋_GB2312"/>
          <w:sz w:val="24"/>
          <w:szCs w:val="24"/>
          <w:lang w:val="en-US" w:eastAsia="zh-CN"/>
        </w:rPr>
      </w:pPr>
      <w:r>
        <w:rPr>
          <w:rFonts w:hint="eastAsia" w:ascii="仿宋_GB2312" w:eastAsia="仿宋_GB2312" w:cs="仿宋_GB2312"/>
          <w:sz w:val="24"/>
          <w:szCs w:val="24"/>
        </w:rPr>
        <w:t>项目名称：</w:t>
      </w:r>
      <w:r>
        <w:rPr>
          <w:rFonts w:hint="default" w:ascii="仿宋_GB2312" w:eastAsia="仿宋_GB2312" w:cs="仿宋_GB2312"/>
          <w:sz w:val="24"/>
          <w:szCs w:val="24"/>
          <w:lang w:val="en-US" w:eastAsia="zh-CN"/>
        </w:rPr>
        <w:t>四川省妇幼保健院</w:t>
      </w:r>
      <w:r>
        <w:rPr>
          <w:rFonts w:hint="eastAsia" w:ascii="仿宋_GB2312" w:eastAsia="仿宋_GB2312" w:cs="仿宋_GB2312"/>
          <w:sz w:val="24"/>
          <w:szCs w:val="24"/>
          <w:lang w:val="en-US" w:eastAsia="zh-CN"/>
        </w:rPr>
        <w:t>四川省妇女儿童医院 门诊楼广场旗帜制作、安装工程</w:t>
      </w:r>
      <w:r>
        <w:rPr>
          <w:rFonts w:hint="default" w:ascii="仿宋_GB2312" w:eastAsia="仿宋_GB2312" w:cs="仿宋_GB2312"/>
          <w:sz w:val="24"/>
          <w:szCs w:val="24"/>
          <w:lang w:val="en-US" w:eastAsia="zh-CN"/>
        </w:rPr>
        <w:t>市场调研</w:t>
      </w:r>
    </w:p>
    <w:p>
      <w:pPr>
        <w:numPr>
          <w:ilvl w:val="0"/>
          <w:numId w:val="1"/>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项目位置：成都市武侯区沙堰西二街290号</w:t>
      </w:r>
    </w:p>
    <w:p>
      <w:pPr>
        <w:numPr>
          <w:ilvl w:val="0"/>
          <w:numId w:val="1"/>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本采购要求提出的是最低限度的技术要求，并未对一切技术细节做出规定，供方应保证提供符合本规范书和现行国家标准的优质产品。</w:t>
      </w:r>
    </w:p>
    <w:p>
      <w:pPr>
        <w:numPr>
          <w:ilvl w:val="0"/>
          <w:numId w:val="1"/>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如果供方没有对本采购要求的条文提出异议，那么需方可以认为供方提出的产品应完全符合本规范书的要求。</w:t>
      </w:r>
    </w:p>
    <w:p>
      <w:pPr>
        <w:numPr>
          <w:ilvl w:val="0"/>
          <w:numId w:val="1"/>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在签订合同之后，需方有权提出因规范标准发生变化而产生的一些补充要求，具体项目由供、需双方共同商定。</w:t>
      </w:r>
    </w:p>
    <w:p>
      <w:pPr>
        <w:numPr>
          <w:ilvl w:val="0"/>
          <w:numId w:val="1"/>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本技术规范书所使用的标准如遇与供方所执行的标准发生矛盾时，按较高标准执行。</w:t>
      </w:r>
    </w:p>
    <w:p>
      <w:pPr>
        <w:numPr>
          <w:ilvl w:val="0"/>
          <w:numId w:val="1"/>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所有产品和相关配套设备需具备由供货方负责供货，如有相关纠纷，由供货方负责。</w:t>
      </w:r>
    </w:p>
    <w:p>
      <w:pPr>
        <w:numPr>
          <w:ilvl w:val="0"/>
          <w:numId w:val="1"/>
        </w:numPr>
        <w:spacing w:line="440" w:lineRule="exact"/>
        <w:ind w:left="0" w:leftChars="0" w:firstLine="400" w:firstLineChars="0"/>
        <w:rPr>
          <w:rFonts w:hint="eastAsia" w:ascii="仿宋_GB2312" w:eastAsia="仿宋_GB2312" w:cs="仿宋_GB2312"/>
          <w:sz w:val="24"/>
          <w:szCs w:val="24"/>
        </w:rPr>
      </w:pPr>
      <w:r>
        <w:rPr>
          <w:rFonts w:hint="eastAsia" w:ascii="仿宋_GB2312" w:hAnsi="宋体" w:eastAsia="仿宋_GB2312" w:cs="宋体"/>
          <w:color w:val="000000"/>
          <w:kern w:val="0"/>
          <w:sz w:val="24"/>
        </w:rPr>
        <w:t>报价应是最终用户验收合格后的总价，包括设备运输、保险、代理、安装调试、培训、税费、系统集成费用和采购文件规定的其它费用。</w:t>
      </w:r>
    </w:p>
    <w:p>
      <w:pPr>
        <w:spacing w:line="440" w:lineRule="exact"/>
        <w:ind w:firstLine="487" w:firstLineChars="202"/>
        <w:rPr>
          <w:rFonts w:ascii="仿宋_GB2312" w:eastAsia="仿宋_GB2312"/>
          <w:b/>
          <w:bCs/>
          <w:sz w:val="24"/>
          <w:szCs w:val="24"/>
        </w:rPr>
      </w:pPr>
      <w:r>
        <w:rPr>
          <w:rFonts w:hint="eastAsia" w:ascii="仿宋_GB2312" w:eastAsia="仿宋_GB2312" w:cs="仿宋_GB2312"/>
          <w:b/>
          <w:bCs/>
          <w:sz w:val="24"/>
          <w:szCs w:val="24"/>
        </w:rPr>
        <w:t>二、工作内容和</w:t>
      </w:r>
      <w:r>
        <w:rPr>
          <w:rFonts w:hint="eastAsia" w:ascii="仿宋_GB2312" w:eastAsia="仿宋_GB2312" w:cs="仿宋_GB2312"/>
          <w:b/>
          <w:bCs/>
          <w:sz w:val="24"/>
          <w:szCs w:val="24"/>
          <w:lang w:eastAsia="zh-CN"/>
        </w:rPr>
        <w:t>招标</w:t>
      </w:r>
      <w:r>
        <w:rPr>
          <w:rFonts w:hint="eastAsia" w:ascii="仿宋_GB2312" w:eastAsia="仿宋_GB2312" w:cs="仿宋_GB2312"/>
          <w:b/>
          <w:bCs/>
          <w:sz w:val="24"/>
          <w:szCs w:val="24"/>
        </w:rPr>
        <w:t>要求</w:t>
      </w:r>
    </w:p>
    <w:p>
      <w:pPr>
        <w:numPr>
          <w:ilvl w:val="0"/>
          <w:numId w:val="2"/>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lang w:eastAsia="zh-CN"/>
        </w:rPr>
        <w:t>制作内容：旗台、旗杆、旗面。</w:t>
      </w:r>
    </w:p>
    <w:p>
      <w:pPr>
        <w:numPr>
          <w:ilvl w:val="0"/>
          <w:numId w:val="2"/>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lang w:eastAsia="zh-CN"/>
        </w:rPr>
        <w:t>投标方需提供设计方案，经院方同意后，方可采用。</w:t>
      </w:r>
    </w:p>
    <w:p>
      <w:pPr>
        <w:numPr>
          <w:ilvl w:val="0"/>
          <w:numId w:val="2"/>
        </w:numPr>
        <w:spacing w:line="440" w:lineRule="exact"/>
        <w:ind w:left="0" w:leftChars="0" w:firstLine="400" w:firstLineChars="0"/>
        <w:rPr>
          <w:rFonts w:hint="eastAsia" w:ascii="仿宋_GB2312" w:eastAsia="仿宋_GB2312" w:cs="仿宋_GB2312"/>
          <w:sz w:val="24"/>
          <w:szCs w:val="24"/>
          <w:lang w:eastAsia="zh-CN"/>
        </w:rPr>
      </w:pPr>
      <w:bookmarkStart w:id="0" w:name="_Toc179632804"/>
      <w:bookmarkStart w:id="1" w:name="_Toc246997096"/>
      <w:bookmarkStart w:id="2" w:name="_Toc144974854"/>
      <w:bookmarkStart w:id="3" w:name="_Toc247085870"/>
      <w:bookmarkStart w:id="4" w:name="_Toc152042574"/>
      <w:bookmarkStart w:id="5" w:name="_Toc246996353"/>
      <w:bookmarkStart w:id="6" w:name="_Toc152045785"/>
      <w:r>
        <w:rPr>
          <w:rFonts w:hint="eastAsia" w:ascii="仿宋_GB2312" w:eastAsia="仿宋_GB2312" w:cs="仿宋_GB2312"/>
          <w:sz w:val="24"/>
          <w:szCs w:val="24"/>
          <w:lang w:eastAsia="zh-CN"/>
        </w:rPr>
        <w:t>本次招标采用总价包干，中标后价格不予调整。</w:t>
      </w:r>
    </w:p>
    <w:p>
      <w:pPr>
        <w:numPr>
          <w:ilvl w:val="0"/>
          <w:numId w:val="2"/>
        </w:numPr>
        <w:spacing w:line="440" w:lineRule="exact"/>
        <w:ind w:left="0" w:leftChars="0" w:firstLine="400" w:firstLineChars="0"/>
        <w:rPr>
          <w:rFonts w:hint="eastAsia" w:ascii="仿宋_GB2312" w:eastAsia="仿宋_GB2312" w:cs="仿宋_GB2312"/>
          <w:sz w:val="24"/>
          <w:szCs w:val="24"/>
          <w:lang w:eastAsia="zh-CN"/>
        </w:rPr>
      </w:pPr>
      <w:r>
        <w:rPr>
          <w:rFonts w:hint="eastAsia" w:ascii="仿宋_GB2312" w:eastAsia="仿宋_GB2312" w:cs="仿宋_GB2312"/>
          <w:sz w:val="24"/>
          <w:szCs w:val="24"/>
          <w:lang w:eastAsia="zh-CN"/>
        </w:rPr>
        <w:t>技术标准和要求</w:t>
      </w:r>
      <w:bookmarkEnd w:id="0"/>
      <w:bookmarkEnd w:id="1"/>
      <w:bookmarkEnd w:id="2"/>
      <w:bookmarkEnd w:id="3"/>
      <w:bookmarkEnd w:id="4"/>
      <w:bookmarkEnd w:id="5"/>
      <w:bookmarkEnd w:id="6"/>
    </w:p>
    <w:p>
      <w:pPr>
        <w:spacing w:line="440" w:lineRule="exact"/>
        <w:ind w:firstLine="484" w:firstLineChars="202"/>
        <w:rPr>
          <w:rFonts w:hint="eastAsia" w:ascii="仿宋_GB2312" w:eastAsia="仿宋_GB2312" w:cs="仿宋_GB2312"/>
          <w:sz w:val="24"/>
          <w:szCs w:val="24"/>
        </w:rPr>
      </w:pPr>
      <w:r>
        <w:rPr>
          <w:rFonts w:hint="eastAsia" w:ascii="仿宋_GB2312" w:eastAsia="仿宋_GB2312" w:cs="仿宋_GB2312"/>
          <w:sz w:val="24"/>
          <w:szCs w:val="24"/>
        </w:rPr>
        <w:t>按国家</w:t>
      </w:r>
      <w:r>
        <w:rPr>
          <w:rFonts w:hint="eastAsia" w:ascii="仿宋_GB2312" w:eastAsia="仿宋_GB2312" w:cs="仿宋_GB2312"/>
          <w:sz w:val="24"/>
          <w:szCs w:val="24"/>
          <w:lang w:eastAsia="zh-CN"/>
        </w:rPr>
        <w:t>、地方</w:t>
      </w:r>
      <w:r>
        <w:rPr>
          <w:rFonts w:hint="eastAsia" w:ascii="仿宋_GB2312" w:eastAsia="仿宋_GB2312" w:cs="仿宋_GB2312"/>
          <w:sz w:val="24"/>
          <w:szCs w:val="24"/>
        </w:rPr>
        <w:t>现行施工及验收规范执</w:t>
      </w:r>
      <w:bookmarkStart w:id="7" w:name="_GoBack"/>
      <w:bookmarkEnd w:id="7"/>
      <w:r>
        <w:rPr>
          <w:rFonts w:hint="eastAsia" w:ascii="仿宋_GB2312" w:eastAsia="仿宋_GB2312" w:cs="仿宋_GB2312"/>
          <w:sz w:val="24"/>
          <w:szCs w:val="24"/>
        </w:rPr>
        <w:t>行，包括但不限于：</w:t>
      </w:r>
    </w:p>
    <w:p>
      <w:pPr>
        <w:spacing w:line="440" w:lineRule="exact"/>
        <w:ind w:firstLine="484" w:firstLineChars="202"/>
        <w:rPr>
          <w:rFonts w:hint="eastAsia" w:ascii="仿宋_GB2312" w:eastAsia="仿宋_GB2312" w:cs="仿宋_GB2312"/>
          <w:sz w:val="24"/>
          <w:szCs w:val="24"/>
        </w:rPr>
      </w:pPr>
      <w:r>
        <w:rPr>
          <w:rFonts w:hint="eastAsia" w:ascii="仿宋_GB2312" w:eastAsia="仿宋_GB2312" w:cs="仿宋_GB2312"/>
          <w:sz w:val="24"/>
          <w:szCs w:val="24"/>
        </w:rPr>
        <w:t>《中华人民共和国国旗法》</w:t>
      </w:r>
    </w:p>
    <w:p>
      <w:pPr>
        <w:spacing w:line="440" w:lineRule="exact"/>
        <w:ind w:firstLine="487" w:firstLineChars="202"/>
        <w:rPr>
          <w:rFonts w:ascii="仿宋_GB2312" w:eastAsia="仿宋_GB2312"/>
          <w:b/>
          <w:bCs/>
          <w:sz w:val="24"/>
          <w:szCs w:val="24"/>
        </w:rPr>
      </w:pPr>
      <w:r>
        <w:rPr>
          <w:rFonts w:hint="eastAsia" w:ascii="仿宋_GB2312" w:eastAsia="仿宋_GB2312" w:cs="仿宋_GB2312"/>
          <w:b/>
          <w:bCs/>
          <w:sz w:val="24"/>
          <w:szCs w:val="24"/>
        </w:rPr>
        <w:t>三、商家要求：</w:t>
      </w:r>
    </w:p>
    <w:p>
      <w:pPr>
        <w:numPr>
          <w:ilvl w:val="0"/>
          <w:numId w:val="3"/>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工商注册及经营许可要求：投标人应是在工商行政管理部门依法登记注册具有独立法人或其他组织，注册资金在100万元人民币及以上；须提供经年检的合法有效的营业执照[已按商事登记改革要求更换新版营业执照的，须提供商事主体信息最新查询结果（显示经营范围、注册资本等信息）的截屏打印件（加盖公章）]、税务登记证、组织机构代码证（已三证合一的可仅提供营业执照，所提供的营业执照上应反映经营范围和注册资本信息，如果没有的需在互联网下载或截图打印并盖章；</w:t>
      </w:r>
    </w:p>
    <w:p>
      <w:pPr>
        <w:numPr>
          <w:ilvl w:val="0"/>
          <w:numId w:val="3"/>
        </w:numPr>
        <w:spacing w:line="440" w:lineRule="exact"/>
        <w:ind w:left="0" w:leftChars="0" w:firstLine="400" w:firstLineChars="0"/>
        <w:rPr>
          <w:rFonts w:hint="default" w:ascii="仿宋_GB2312" w:eastAsia="仿宋_GB2312" w:cs="仿宋_GB2312"/>
          <w:sz w:val="24"/>
          <w:szCs w:val="24"/>
          <w:lang w:val="en-US" w:eastAsia="zh-CN"/>
        </w:rPr>
      </w:pPr>
      <w:r>
        <w:rPr>
          <w:rFonts w:hint="eastAsia" w:ascii="仿宋_GB2312" w:eastAsia="仿宋_GB2312" w:cs="仿宋_GB2312"/>
          <w:sz w:val="24"/>
          <w:szCs w:val="24"/>
        </w:rPr>
        <w:t>资质要求：</w:t>
      </w:r>
      <w:r>
        <w:rPr>
          <w:rFonts w:hint="default" w:ascii="仿宋_GB2312" w:eastAsia="仿宋_GB2312" w:cs="仿宋_GB2312"/>
          <w:sz w:val="24"/>
          <w:szCs w:val="24"/>
          <w:lang w:val="en-US" w:eastAsia="zh-CN"/>
        </w:rPr>
        <w:t>具有独立法人资格，具备有效</w:t>
      </w:r>
      <w:r>
        <w:rPr>
          <w:rFonts w:hint="eastAsia" w:ascii="仿宋_GB2312" w:eastAsia="仿宋_GB2312" w:cs="仿宋_GB2312"/>
          <w:sz w:val="24"/>
          <w:szCs w:val="24"/>
          <w:lang w:val="en-US" w:eastAsia="zh-CN"/>
        </w:rPr>
        <w:t>的广告设计、制作资质。</w:t>
      </w:r>
    </w:p>
    <w:p>
      <w:pPr>
        <w:numPr>
          <w:ilvl w:val="0"/>
          <w:numId w:val="3"/>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企业财务能力要求：良好，并有足够的流动资金；提供企业近一年财务审计报告。</w:t>
      </w:r>
    </w:p>
    <w:p>
      <w:pPr>
        <w:numPr>
          <w:ilvl w:val="0"/>
          <w:numId w:val="3"/>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投标人不得存在下列情形之一：被责令停业的；被暂停或取消投标资格的；财产被接管或冻结的；在近三年内（2014年1月1日至2017年）有骗取中标或严重违约的。</w:t>
      </w:r>
    </w:p>
    <w:p>
      <w:pPr>
        <w:numPr>
          <w:ilvl w:val="0"/>
          <w:numId w:val="3"/>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本次招标不接受联合体投标。</w:t>
      </w:r>
    </w:p>
    <w:p>
      <w:pPr>
        <w:widowControl/>
        <w:spacing w:line="440" w:lineRule="atLeast"/>
        <w:ind w:firstLine="566"/>
        <w:jc w:val="left"/>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lang w:eastAsia="zh-CN"/>
        </w:rPr>
        <w:t>四</w:t>
      </w:r>
      <w:r>
        <w:rPr>
          <w:rFonts w:hint="eastAsia" w:ascii="仿宋_GB2312" w:hAnsi="宋体" w:eastAsia="仿宋_GB2312" w:cs="宋体"/>
          <w:b/>
          <w:bCs/>
          <w:color w:val="000000"/>
          <w:kern w:val="0"/>
          <w:sz w:val="24"/>
        </w:rPr>
        <w:t>、供方应提供技术文件</w:t>
      </w:r>
    </w:p>
    <w:p>
      <w:pPr>
        <w:widowControl/>
        <w:spacing w:line="440" w:lineRule="atLeast"/>
        <w:ind w:firstLine="566"/>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1.产品合格证书；</w:t>
      </w:r>
    </w:p>
    <w:p>
      <w:pPr>
        <w:widowControl/>
        <w:spacing w:line="440" w:lineRule="atLeast"/>
        <w:ind w:firstLine="566"/>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2.产品供货清单及品牌；</w:t>
      </w:r>
    </w:p>
    <w:p>
      <w:pPr>
        <w:widowControl/>
        <w:spacing w:line="440" w:lineRule="atLeast"/>
        <w:ind w:firstLine="566"/>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3.产品检验报告；</w:t>
      </w:r>
    </w:p>
    <w:p>
      <w:pPr>
        <w:widowControl/>
        <w:spacing w:line="440" w:lineRule="atLeast"/>
        <w:ind w:firstLine="566"/>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4.产品技术手册；</w:t>
      </w:r>
    </w:p>
    <w:p>
      <w:pPr>
        <w:widowControl/>
        <w:spacing w:line="440" w:lineRule="atLeast"/>
        <w:ind w:firstLine="566"/>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5.所有产品和相关配套设备需符合国家相关标准、规范；</w:t>
      </w:r>
    </w:p>
    <w:p>
      <w:pPr>
        <w:widowControl/>
        <w:spacing w:line="440" w:lineRule="atLeast"/>
        <w:ind w:firstLine="566"/>
        <w:jc w:val="left"/>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lang w:eastAsia="zh-CN"/>
        </w:rPr>
        <w:t>五</w:t>
      </w:r>
      <w:r>
        <w:rPr>
          <w:rFonts w:hint="eastAsia" w:ascii="仿宋_GB2312" w:hAnsi="宋体" w:eastAsia="仿宋_GB2312" w:cs="宋体"/>
          <w:b/>
          <w:bCs/>
          <w:color w:val="000000"/>
          <w:kern w:val="0"/>
          <w:sz w:val="24"/>
        </w:rPr>
        <w:t>、其他事项</w:t>
      </w:r>
    </w:p>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有意愿参与</w:t>
      </w:r>
      <w:r>
        <w:rPr>
          <w:rFonts w:hint="eastAsia" w:ascii="仿宋_GB2312" w:eastAsia="仿宋_GB2312" w:cs="仿宋_GB2312"/>
          <w:sz w:val="24"/>
          <w:szCs w:val="24"/>
          <w:lang w:eastAsia="zh-CN"/>
        </w:rPr>
        <w:t>施工</w:t>
      </w:r>
      <w:r>
        <w:rPr>
          <w:rFonts w:hint="eastAsia" w:ascii="仿宋_GB2312" w:eastAsia="仿宋_GB2312" w:cs="仿宋_GB2312"/>
          <w:sz w:val="24"/>
          <w:szCs w:val="24"/>
        </w:rPr>
        <w:t>的单位可来院踏勘、洽谈，上班时间为</w:t>
      </w:r>
      <w:r>
        <w:rPr>
          <w:rFonts w:ascii="仿宋_GB2312" w:eastAsia="仿宋_GB2312" w:cs="仿宋_GB2312"/>
          <w:sz w:val="24"/>
          <w:szCs w:val="24"/>
        </w:rPr>
        <w:t>8</w:t>
      </w:r>
      <w:r>
        <w:rPr>
          <w:rFonts w:hint="eastAsia" w:ascii="仿宋_GB2312" w:eastAsia="仿宋_GB2312" w:cs="仿宋_GB2312"/>
          <w:sz w:val="24"/>
          <w:szCs w:val="24"/>
        </w:rPr>
        <w:t>：</w:t>
      </w:r>
      <w:r>
        <w:rPr>
          <w:rFonts w:ascii="仿宋_GB2312" w:eastAsia="仿宋_GB2312" w:cs="仿宋_GB2312"/>
          <w:sz w:val="24"/>
          <w:szCs w:val="24"/>
        </w:rPr>
        <w:t>00</w:t>
      </w:r>
      <w:r>
        <w:rPr>
          <w:rFonts w:ascii="仿宋_GB2312" w:eastAsia="仿宋_GB2312"/>
          <w:sz w:val="24"/>
          <w:szCs w:val="24"/>
        </w:rPr>
        <w:t>—</w:t>
      </w:r>
      <w:r>
        <w:rPr>
          <w:rFonts w:ascii="仿宋_GB2312" w:eastAsia="仿宋_GB2312" w:cs="仿宋_GB2312"/>
          <w:sz w:val="24"/>
          <w:szCs w:val="24"/>
        </w:rPr>
        <w:t>12</w:t>
      </w:r>
      <w:r>
        <w:rPr>
          <w:rFonts w:hint="eastAsia" w:ascii="仿宋_GB2312" w:eastAsia="仿宋_GB2312" w:cs="仿宋_GB2312"/>
          <w:sz w:val="24"/>
          <w:szCs w:val="24"/>
        </w:rPr>
        <w:t>：</w:t>
      </w:r>
      <w:r>
        <w:rPr>
          <w:rFonts w:ascii="仿宋_GB2312" w:eastAsia="仿宋_GB2312" w:cs="仿宋_GB2312"/>
          <w:sz w:val="24"/>
          <w:szCs w:val="24"/>
        </w:rPr>
        <w:t>00</w:t>
      </w:r>
      <w:r>
        <w:rPr>
          <w:rFonts w:hint="eastAsia" w:ascii="仿宋_GB2312" w:eastAsia="仿宋_GB2312" w:cs="仿宋_GB2312"/>
          <w:sz w:val="24"/>
          <w:szCs w:val="24"/>
        </w:rPr>
        <w:t>（上午），</w:t>
      </w:r>
      <w:r>
        <w:rPr>
          <w:rFonts w:ascii="仿宋_GB2312" w:eastAsia="仿宋_GB2312" w:cs="仿宋_GB2312"/>
          <w:sz w:val="24"/>
          <w:szCs w:val="24"/>
        </w:rPr>
        <w:t>14</w:t>
      </w:r>
      <w:r>
        <w:rPr>
          <w:rFonts w:hint="eastAsia" w:ascii="仿宋_GB2312" w:eastAsia="仿宋_GB2312" w:cs="仿宋_GB2312"/>
          <w:sz w:val="24"/>
          <w:szCs w:val="24"/>
        </w:rPr>
        <w:t>：</w:t>
      </w:r>
      <w:r>
        <w:rPr>
          <w:rFonts w:ascii="仿宋_GB2312" w:eastAsia="仿宋_GB2312" w:cs="仿宋_GB2312"/>
          <w:sz w:val="24"/>
          <w:szCs w:val="24"/>
        </w:rPr>
        <w:t>00</w:t>
      </w:r>
      <w:r>
        <w:rPr>
          <w:rFonts w:ascii="仿宋_GB2312" w:eastAsia="仿宋_GB2312"/>
          <w:sz w:val="24"/>
          <w:szCs w:val="24"/>
        </w:rPr>
        <w:t>—</w:t>
      </w:r>
      <w:r>
        <w:rPr>
          <w:rFonts w:ascii="仿宋_GB2312" w:eastAsia="仿宋_GB2312" w:cs="仿宋_GB2312"/>
          <w:sz w:val="24"/>
          <w:szCs w:val="24"/>
        </w:rPr>
        <w:t>17</w:t>
      </w:r>
      <w:r>
        <w:rPr>
          <w:rFonts w:hint="eastAsia" w:ascii="仿宋_GB2312" w:eastAsia="仿宋_GB2312" w:cs="仿宋_GB2312"/>
          <w:sz w:val="24"/>
          <w:szCs w:val="24"/>
        </w:rPr>
        <w:t>：</w:t>
      </w:r>
      <w:r>
        <w:rPr>
          <w:rFonts w:ascii="仿宋_GB2312" w:eastAsia="仿宋_GB2312" w:cs="仿宋_GB2312"/>
          <w:sz w:val="24"/>
          <w:szCs w:val="24"/>
        </w:rPr>
        <w:t>30</w:t>
      </w:r>
      <w:r>
        <w:rPr>
          <w:rFonts w:hint="eastAsia" w:ascii="仿宋_GB2312" w:eastAsia="仿宋_GB2312" w:cs="仿宋_GB2312"/>
          <w:sz w:val="24"/>
          <w:szCs w:val="24"/>
        </w:rPr>
        <w:t>（下午），联系电话</w:t>
      </w:r>
      <w:r>
        <w:rPr>
          <w:rFonts w:ascii="仿宋_GB2312" w:eastAsia="仿宋_GB2312" w:cs="仿宋_GB2312"/>
          <w:sz w:val="24"/>
          <w:szCs w:val="24"/>
        </w:rPr>
        <w:t>659782</w:t>
      </w:r>
      <w:r>
        <w:rPr>
          <w:rFonts w:hint="eastAsia" w:ascii="仿宋_GB2312" w:eastAsia="仿宋_GB2312" w:cs="仿宋_GB2312"/>
          <w:sz w:val="24"/>
          <w:szCs w:val="24"/>
          <w:lang w:val="en-US" w:eastAsia="zh-CN"/>
        </w:rPr>
        <w:t>23</w:t>
      </w:r>
      <w:r>
        <w:rPr>
          <w:rFonts w:hint="eastAsia" w:ascii="仿宋_GB2312" w:eastAsia="仿宋_GB2312" w:cs="仿宋_GB2312"/>
          <w:sz w:val="24"/>
          <w:szCs w:val="24"/>
        </w:rPr>
        <w:t>。</w:t>
      </w:r>
    </w:p>
    <w:p>
      <w:pPr>
        <w:spacing w:line="440" w:lineRule="exact"/>
        <w:ind w:firstLine="484" w:firstLineChars="202"/>
        <w:rPr>
          <w:rFonts w:ascii="仿宋_GB2312" w:eastAsia="仿宋_GB231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EAF0DD"/>
    <w:multiLevelType w:val="singleLevel"/>
    <w:tmpl w:val="B4EAF0DD"/>
    <w:lvl w:ilvl="0" w:tentative="0">
      <w:start w:val="1"/>
      <w:numFmt w:val="decimal"/>
      <w:suff w:val="nothing"/>
      <w:lvlText w:val="%1．"/>
      <w:lvlJc w:val="left"/>
      <w:pPr>
        <w:ind w:left="0" w:firstLine="400"/>
      </w:pPr>
      <w:rPr>
        <w:rFonts w:hint="default"/>
      </w:rPr>
    </w:lvl>
  </w:abstractNum>
  <w:abstractNum w:abstractNumId="1">
    <w:nsid w:val="197792FF"/>
    <w:multiLevelType w:val="singleLevel"/>
    <w:tmpl w:val="197792FF"/>
    <w:lvl w:ilvl="0" w:tentative="0">
      <w:start w:val="1"/>
      <w:numFmt w:val="decimal"/>
      <w:suff w:val="nothing"/>
      <w:lvlText w:val="%1．"/>
      <w:lvlJc w:val="left"/>
      <w:pPr>
        <w:ind w:left="0" w:firstLine="400"/>
      </w:pPr>
      <w:rPr>
        <w:rFonts w:hint="default"/>
      </w:rPr>
    </w:lvl>
  </w:abstractNum>
  <w:abstractNum w:abstractNumId="2">
    <w:nsid w:val="4F1BE6CF"/>
    <w:multiLevelType w:val="singleLevel"/>
    <w:tmpl w:val="4F1BE6CF"/>
    <w:lvl w:ilvl="0" w:tentative="0">
      <w:start w:val="1"/>
      <w:numFmt w:val="decimal"/>
      <w:suff w:val="nothing"/>
      <w:lvlText w:val="%1．"/>
      <w:lvlJc w:val="left"/>
      <w:pPr>
        <w:ind w:left="0" w:firstLine="4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49BB"/>
    <w:rsid w:val="0003349C"/>
    <w:rsid w:val="001033C0"/>
    <w:rsid w:val="00266876"/>
    <w:rsid w:val="00290E65"/>
    <w:rsid w:val="002A41B7"/>
    <w:rsid w:val="00367EBF"/>
    <w:rsid w:val="00494CFC"/>
    <w:rsid w:val="00506BD0"/>
    <w:rsid w:val="005228D2"/>
    <w:rsid w:val="005B006F"/>
    <w:rsid w:val="00656D9B"/>
    <w:rsid w:val="00684ED2"/>
    <w:rsid w:val="006B7F80"/>
    <w:rsid w:val="006F13BE"/>
    <w:rsid w:val="007249BB"/>
    <w:rsid w:val="00750614"/>
    <w:rsid w:val="00792713"/>
    <w:rsid w:val="007A2E47"/>
    <w:rsid w:val="007D26A8"/>
    <w:rsid w:val="00811FD2"/>
    <w:rsid w:val="009126D4"/>
    <w:rsid w:val="009B31B9"/>
    <w:rsid w:val="00AB5814"/>
    <w:rsid w:val="00BE540B"/>
    <w:rsid w:val="00C40587"/>
    <w:rsid w:val="00E76E1C"/>
    <w:rsid w:val="00EA6560"/>
    <w:rsid w:val="00EC6312"/>
    <w:rsid w:val="00F3070B"/>
    <w:rsid w:val="00F57AB1"/>
    <w:rsid w:val="00F704E9"/>
    <w:rsid w:val="00FB017C"/>
    <w:rsid w:val="00FC34AC"/>
    <w:rsid w:val="0A292F87"/>
    <w:rsid w:val="1D9626CF"/>
    <w:rsid w:val="22D54E89"/>
    <w:rsid w:val="27447CE4"/>
    <w:rsid w:val="39A7442A"/>
    <w:rsid w:val="3F7E168F"/>
    <w:rsid w:val="44C5194A"/>
    <w:rsid w:val="462861F0"/>
    <w:rsid w:val="6B6341C0"/>
    <w:rsid w:val="6FAF5989"/>
    <w:rsid w:val="78580E5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0"/>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1"/>
    <w:qFormat/>
    <w:uiPriority w:val="99"/>
    <w:pPr>
      <w:keepNext/>
      <w:keepLines/>
      <w:spacing w:before="260" w:after="260" w:line="415" w:lineRule="auto"/>
      <w:outlineLvl w:val="1"/>
    </w:pPr>
    <w:rPr>
      <w:rFonts w:ascii="Arial" w:hAnsi="Arial" w:eastAsia="黑体" w:cs="Arial"/>
      <w:b/>
      <w:bCs/>
      <w:sz w:val="32"/>
      <w:szCs w:val="32"/>
    </w:rPr>
  </w:style>
  <w:style w:type="character" w:default="1" w:styleId="9">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Plain Text"/>
    <w:basedOn w:val="1"/>
    <w:link w:val="14"/>
    <w:qFormat/>
    <w:uiPriority w:val="99"/>
    <w:rPr>
      <w:rFonts w:ascii="宋体" w:hAnsi="Courier New" w:cs="宋体"/>
    </w:rPr>
  </w:style>
  <w:style w:type="paragraph" w:styleId="6">
    <w:name w:val="footer"/>
    <w:basedOn w:val="1"/>
    <w:link w:val="13"/>
    <w:semiHidden/>
    <w:qFormat/>
    <w:uiPriority w:val="99"/>
    <w:pPr>
      <w:tabs>
        <w:tab w:val="center" w:pos="4153"/>
        <w:tab w:val="right" w:pos="8306"/>
      </w:tabs>
      <w:snapToGrid w:val="0"/>
      <w:jc w:val="left"/>
    </w:pPr>
    <w:rPr>
      <w:sz w:val="18"/>
      <w:szCs w:val="18"/>
    </w:rPr>
  </w:style>
  <w:style w:type="paragraph" w:styleId="7">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Heading 1 Char"/>
    <w:basedOn w:val="9"/>
    <w:link w:val="2"/>
    <w:qFormat/>
    <w:locked/>
    <w:uiPriority w:val="99"/>
    <w:rPr>
      <w:rFonts w:ascii="Times New Roman" w:hAnsi="Times New Roman" w:eastAsia="宋体" w:cs="Times New Roman"/>
      <w:b/>
      <w:bCs/>
      <w:kern w:val="44"/>
      <w:sz w:val="44"/>
      <w:szCs w:val="44"/>
    </w:rPr>
  </w:style>
  <w:style w:type="character" w:customStyle="1" w:styleId="11">
    <w:name w:val="Heading 2 Char"/>
    <w:basedOn w:val="9"/>
    <w:link w:val="3"/>
    <w:qFormat/>
    <w:locked/>
    <w:uiPriority w:val="99"/>
    <w:rPr>
      <w:rFonts w:ascii="Arial" w:hAnsi="Arial" w:eastAsia="黑体" w:cs="Arial"/>
      <w:b/>
      <w:bCs/>
      <w:sz w:val="32"/>
      <w:szCs w:val="32"/>
    </w:rPr>
  </w:style>
  <w:style w:type="character" w:customStyle="1" w:styleId="12">
    <w:name w:val="Header Char"/>
    <w:basedOn w:val="9"/>
    <w:link w:val="7"/>
    <w:semiHidden/>
    <w:qFormat/>
    <w:locked/>
    <w:uiPriority w:val="99"/>
    <w:rPr>
      <w:sz w:val="18"/>
      <w:szCs w:val="18"/>
    </w:rPr>
  </w:style>
  <w:style w:type="character" w:customStyle="1" w:styleId="13">
    <w:name w:val="Footer Char"/>
    <w:basedOn w:val="9"/>
    <w:link w:val="6"/>
    <w:semiHidden/>
    <w:qFormat/>
    <w:locked/>
    <w:uiPriority w:val="99"/>
    <w:rPr>
      <w:sz w:val="18"/>
      <w:szCs w:val="18"/>
    </w:rPr>
  </w:style>
  <w:style w:type="character" w:customStyle="1" w:styleId="14">
    <w:name w:val="Plain Text Char"/>
    <w:basedOn w:val="9"/>
    <w:link w:val="5"/>
    <w:qFormat/>
    <w:locked/>
    <w:uiPriority w:val="99"/>
    <w:rPr>
      <w:rFonts w:ascii="宋体" w:hAnsi="Courier New" w:eastAsia="宋体" w:cs="宋体"/>
      <w:sz w:val="20"/>
      <w:szCs w:val="20"/>
    </w:rPr>
  </w:style>
  <w:style w:type="paragraph" w:customStyle="1" w:styleId="15">
    <w:name w:val="列出段落1"/>
    <w:basedOn w:val="1"/>
    <w:link w:val="16"/>
    <w:qFormat/>
    <w:uiPriority w:val="99"/>
    <w:pPr>
      <w:ind w:firstLine="420" w:firstLineChars="200"/>
    </w:pPr>
    <w:rPr>
      <w:kern w:val="0"/>
      <w:sz w:val="20"/>
      <w:szCs w:val="20"/>
    </w:rPr>
  </w:style>
  <w:style w:type="character" w:customStyle="1" w:styleId="16">
    <w:name w:val="列出段落 Char"/>
    <w:link w:val="15"/>
    <w:qFormat/>
    <w:locked/>
    <w:uiPriority w:val="99"/>
    <w:rPr>
      <w:rFonts w:ascii="Times New Roman" w:hAnsi="Times New Roman" w:eastAsia="宋体" w:cs="Times New Roman"/>
      <w:sz w:val="20"/>
      <w:szCs w:val="20"/>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Pages>
  <Words>318</Words>
  <Characters>1816</Characters>
  <Lines>0</Lines>
  <Paragraphs>0</Paragraphs>
  <TotalTime>2</TotalTime>
  <ScaleCrop>false</ScaleCrop>
  <LinksUpToDate>false</LinksUpToDate>
  <CharactersWithSpaces>0</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2017-03-03T06:57:00Z</dcterms:created>
  <dc:creator>赵付伟</dc:creator>
  <cp:lastModifiedBy>lenovo</cp:lastModifiedBy>
  <dcterms:modified xsi:type="dcterms:W3CDTF">2019-03-22T06:26:45Z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