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附件1：</w:t>
      </w:r>
      <w:r w:rsidRPr="007C4DB5">
        <w:rPr>
          <w:rFonts w:ascii="宋体" w:eastAsia="宋体" w:hAnsi="宋体" w:cs="宋体" w:hint="eastAsia"/>
          <w:b/>
          <w:bCs/>
          <w:color w:val="333333"/>
          <w:kern w:val="0"/>
          <w:sz w:val="24"/>
          <w:szCs w:val="24"/>
        </w:rPr>
        <w:t>   </w:t>
      </w:r>
      <w:r w:rsidRPr="007C4DB5">
        <w:rPr>
          <w:rFonts w:ascii="仿宋" w:eastAsia="仿宋" w:hAnsi="仿宋" w:cs="Segoe UI" w:hint="eastAsia"/>
          <w:b/>
          <w:bCs/>
          <w:color w:val="333333"/>
          <w:kern w:val="0"/>
          <w:sz w:val="24"/>
          <w:szCs w:val="24"/>
        </w:rPr>
        <w:t>技术要求</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用途：用于治疗重度感音神经性耳聋，年龄为1岁以上的患者；</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2.</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言语处理器兼容性：兼容；</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3.</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植入体外形活动电极长度： ≥15mm；</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4.</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植入体骨槽磨骨容积：≤500mm</w:t>
      </w:r>
      <w:r w:rsidRPr="007C4DB5">
        <w:rPr>
          <w:rFonts w:ascii="仿宋" w:eastAsia="仿宋" w:hAnsi="仿宋" w:cs="Segoe UI" w:hint="eastAsia"/>
          <w:color w:val="333333"/>
          <w:kern w:val="0"/>
          <w:sz w:val="18"/>
          <w:szCs w:val="18"/>
          <w:vertAlign w:val="superscript"/>
        </w:rPr>
        <w:t>3</w:t>
      </w:r>
      <w:r w:rsidRPr="007C4DB5">
        <w:rPr>
          <w:rFonts w:ascii="仿宋" w:eastAsia="仿宋" w:hAnsi="仿宋" w:cs="Segoe UI" w:hint="eastAsia"/>
          <w:color w:val="333333"/>
          <w:kern w:val="0"/>
          <w:sz w:val="18"/>
          <w:szCs w:val="18"/>
        </w:rPr>
        <w:t>；</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5.</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刺激器直径≤30mm，厚度：≤7mm，线圈宽度：≤35mm，线圈厚度：≤4mm；</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6.</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电极数量：≥24；</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7.</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重量：≤9g（包括电极阵列）；</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8.</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输出电流：0-2100</w:t>
      </w:r>
      <w:r w:rsidRPr="007C4DB5">
        <w:rPr>
          <w:rFonts w:ascii="Segoe UI" w:eastAsia="宋体" w:hAnsi="Segoe UI" w:cs="Segoe UI"/>
          <w:color w:val="333333"/>
          <w:kern w:val="0"/>
          <w:sz w:val="18"/>
          <w:szCs w:val="18"/>
        </w:rPr>
        <w:t>µ</w:t>
      </w:r>
      <w:r w:rsidRPr="007C4DB5">
        <w:rPr>
          <w:rFonts w:ascii="仿宋" w:eastAsia="仿宋" w:hAnsi="仿宋" w:cs="Segoe UI" w:hint="eastAsia"/>
          <w:color w:val="333333"/>
          <w:kern w:val="0"/>
          <w:sz w:val="18"/>
          <w:szCs w:val="18"/>
        </w:rPr>
        <w:t>A；大电流幅度可以在很小的脉冲宽度下仍具有足够的刺激电量，有利于使用小脉冲宽度提高刺激频率;</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9.</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kern w:val="0"/>
          <w:sz w:val="18"/>
          <w:szCs w:val="18"/>
        </w:rPr>
        <w:t>脉冲形状为对称负/正极性脉冲，顺序或同步刺激，脉冲宽度：2</w:t>
      </w:r>
      <w:r w:rsidRPr="007C4DB5">
        <w:rPr>
          <w:rFonts w:ascii="宋体" w:eastAsia="宋体" w:hAnsi="宋体" w:cs="宋体" w:hint="eastAsia"/>
          <w:color w:val="333333"/>
          <w:kern w:val="0"/>
          <w:sz w:val="18"/>
          <w:szCs w:val="18"/>
        </w:rPr>
        <w:t>µ</w:t>
      </w:r>
      <w:r w:rsidRPr="007C4DB5">
        <w:rPr>
          <w:rFonts w:ascii="仿宋" w:eastAsia="仿宋" w:hAnsi="仿宋" w:cs="仿宋" w:hint="eastAsia"/>
          <w:color w:val="333333"/>
          <w:kern w:val="0"/>
          <w:sz w:val="18"/>
          <w:szCs w:val="18"/>
        </w:rPr>
        <w:t>s -450</w:t>
      </w:r>
      <w:r w:rsidRPr="007C4DB5">
        <w:rPr>
          <w:rFonts w:ascii="宋体" w:eastAsia="宋体" w:hAnsi="宋体" w:cs="宋体" w:hint="eastAsia"/>
          <w:color w:val="333333"/>
          <w:kern w:val="0"/>
          <w:sz w:val="18"/>
          <w:szCs w:val="18"/>
        </w:rPr>
        <w:t>µ</w:t>
      </w:r>
      <w:r w:rsidRPr="007C4DB5">
        <w:rPr>
          <w:rFonts w:ascii="仿宋" w:eastAsia="仿宋" w:hAnsi="仿宋" w:cs="仿宋" w:hint="eastAsia"/>
          <w:color w:val="333333"/>
          <w:kern w:val="0"/>
          <w:sz w:val="18"/>
          <w:szCs w:val="18"/>
        </w:rPr>
        <w:t>s</w:t>
      </w:r>
      <w:r w:rsidRPr="007C4DB5">
        <w:rPr>
          <w:rFonts w:ascii="仿宋" w:eastAsia="仿宋" w:hAnsi="仿宋" w:cs="Segoe UI" w:hint="eastAsia"/>
          <w:color w:val="333333"/>
          <w:kern w:val="0"/>
          <w:sz w:val="18"/>
          <w:szCs w:val="18"/>
        </w:rPr>
        <w:t>；</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10.遥测技术：有、且容易操作，自动采集NRT数据，缩短术中检测时间；</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11.电极阻抗值范围：0.5KΩ~30KΩ；</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12.编码策略数量：≥3种；</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13.外壳材料：钛合金。密封性好，坚固耐用，组织相容性好，无排异反应；</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14.电极材料：铂金电极，弹性硅树胶载体，密封性能良好。组织相容性好，无排异反应；</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36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18"/>
          <w:szCs w:val="18"/>
        </w:rPr>
        <w:t>15.产品可靠性：产品安全可靠性≥99%；保修：植入体≥10年，外机≥3年，导线≥1年。</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附件2：准入条件</w:t>
      </w:r>
    </w:p>
    <w:p w:rsidR="007C4DB5" w:rsidRPr="007C4DB5" w:rsidRDefault="007C4DB5" w:rsidP="007C4DB5">
      <w:pPr>
        <w:widowControl/>
        <w:shd w:val="clear" w:color="auto" w:fill="FFFFFF"/>
        <w:wordWrap w:val="0"/>
        <w:ind w:left="585"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1</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资质证件齐全，具备国家法律法规要求的营业执照、医疗器械注册证、医疗器械经营许可证、医疗器械生产许可证、质量合格证、医疗器械检验报告等相关资质证书；</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5"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2</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供应商和患者签订销售合同,合同内约定厂家的合法保证、保修条款、 服务条款以及争议解决,</w:t>
      </w:r>
      <w:r w:rsidRPr="007C4DB5">
        <w:rPr>
          <w:rFonts w:ascii="宋体" w:eastAsia="宋体" w:hAnsi="宋体" w:cs="宋体" w:hint="eastAsia"/>
          <w:color w:val="333333"/>
          <w:kern w:val="0"/>
          <w:sz w:val="24"/>
          <w:szCs w:val="24"/>
        </w:rPr>
        <w:t> </w:t>
      </w:r>
      <w:r w:rsidRPr="007C4DB5">
        <w:rPr>
          <w:rFonts w:ascii="仿宋" w:eastAsia="仿宋" w:hAnsi="仿宋" w:cs="Segoe UI" w:hint="eastAsia"/>
          <w:color w:val="333333"/>
          <w:kern w:val="0"/>
          <w:sz w:val="24"/>
          <w:szCs w:val="24"/>
        </w:rPr>
        <w:t>所有售后服务以及调试均有厂家负责；</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5"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lastRenderedPageBreak/>
        <w:t>3</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医院承担患者的耳蜗植入手术,负责将其植入体内,术中厂家工程师跟台确认植入体的正确植入,以保证其后期正常运行,术后一个月厂家负责开机调试等；</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5"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4</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本院患者执行准入价格，同时能享受每年厂家针对准入产品的优惠活动。</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4"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5</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准入供应商至少缴纳产品质量保证金五万元整（人民币）。</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4"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6</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产品质量优良、服务周全，供货及时，供货价格不得高于医院指导价。</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4"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7</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重合同、守信用、遵纪守法，认同医院的产品质量准入管理，接受医院的指导、监督管理。一旦出现质量问题将取消入围资格。</w:t>
      </w:r>
      <w:r w:rsidRPr="007C4DB5">
        <w:rPr>
          <w:rFonts w:ascii="宋体" w:eastAsia="宋体" w:hAnsi="宋体" w:cs="宋体" w:hint="eastAsia"/>
          <w:color w:val="333333"/>
          <w:kern w:val="0"/>
          <w:sz w:val="24"/>
          <w:szCs w:val="24"/>
        </w:rPr>
        <w:t>      </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ind w:left="584" w:hanging="357"/>
        <w:jc w:val="left"/>
        <w:rPr>
          <w:rFonts w:ascii="Segoe UI" w:eastAsia="宋体" w:hAnsi="Segoe UI" w:cs="Segoe UI"/>
          <w:color w:val="333333"/>
          <w:kern w:val="0"/>
          <w:sz w:val="18"/>
          <w:szCs w:val="18"/>
        </w:rPr>
      </w:pPr>
      <w:r w:rsidRPr="007C4DB5">
        <w:rPr>
          <w:rFonts w:ascii="Segoe UI" w:eastAsia="宋体" w:hAnsi="Segoe UI" w:cs="Segoe UI"/>
          <w:color w:val="333333"/>
          <w:kern w:val="0"/>
          <w:sz w:val="24"/>
          <w:szCs w:val="24"/>
        </w:rPr>
        <w:t>8</w:t>
      </w:r>
      <w:r w:rsidRPr="007C4DB5">
        <w:rPr>
          <w:rFonts w:ascii="Segoe UI" w:eastAsia="宋体" w:hAnsi="Segoe UI" w:cs="Segoe UI"/>
          <w:color w:val="333333"/>
          <w:kern w:val="0"/>
          <w:sz w:val="24"/>
          <w:szCs w:val="24"/>
        </w:rPr>
        <w:t>、</w:t>
      </w:r>
      <w:r w:rsidRPr="007C4DB5">
        <w:rPr>
          <w:rFonts w:ascii="仿宋" w:eastAsia="仿宋" w:hAnsi="仿宋" w:cs="Segoe UI" w:hint="eastAsia"/>
          <w:color w:val="333333"/>
          <w:kern w:val="0"/>
          <w:sz w:val="24"/>
          <w:szCs w:val="24"/>
        </w:rPr>
        <w:t>入围供货商供货期为一年，视情况续签或重新洽谈准入。</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Segoe UI" w:eastAsia="宋体" w:hAnsi="Segoe UI" w:cs="Segoe UI"/>
          <w:color w:val="333333"/>
          <w:kern w:val="0"/>
          <w:sz w:val="18"/>
          <w:szCs w:val="18"/>
        </w:rPr>
        <w:t> </w:t>
      </w:r>
    </w:p>
    <w:p w:rsidR="007C4DB5" w:rsidRPr="007C4DB5" w:rsidRDefault="007C4DB5" w:rsidP="007C4DB5">
      <w:pPr>
        <w:widowControl/>
        <w:shd w:val="clear" w:color="auto" w:fill="FFFFFF"/>
        <w:wordWrap w:val="0"/>
        <w:spacing w:line="270" w:lineRule="atLeast"/>
        <w:ind w:left="584"/>
        <w:jc w:val="left"/>
        <w:rPr>
          <w:rFonts w:ascii="Segoe UI" w:eastAsia="宋体" w:hAnsi="Segoe UI" w:cs="Segoe UI"/>
          <w:color w:val="333333"/>
          <w:kern w:val="0"/>
          <w:sz w:val="18"/>
          <w:szCs w:val="18"/>
        </w:rPr>
      </w:pPr>
      <w:r w:rsidRPr="007C4DB5">
        <w:rPr>
          <w:rFonts w:ascii="宋体" w:eastAsia="宋体" w:hAnsi="宋体" w:cs="Segoe UI" w:hint="eastAsia"/>
          <w:color w:val="333333"/>
          <w:kern w:val="0"/>
          <w:sz w:val="22"/>
        </w:rPr>
        <w:t> </w:t>
      </w:r>
    </w:p>
    <w:p w:rsidR="007C4DB5" w:rsidRPr="007C4DB5" w:rsidRDefault="007C4DB5" w:rsidP="007C4DB5">
      <w:pPr>
        <w:widowControl/>
        <w:shd w:val="clear" w:color="auto" w:fill="FFFFFF"/>
        <w:wordWrap w:val="0"/>
        <w:spacing w:line="400" w:lineRule="atLeast"/>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附件3：需提供文件清单及装订顺序</w:t>
      </w:r>
    </w:p>
    <w:p w:rsidR="007C4DB5" w:rsidRPr="007C4DB5" w:rsidRDefault="007C4DB5" w:rsidP="007C4DB5">
      <w:pPr>
        <w:widowControl/>
        <w:shd w:val="clear" w:color="auto" w:fill="FFFFFF"/>
        <w:wordWrap w:val="0"/>
        <w:spacing w:line="400" w:lineRule="atLeast"/>
        <w:jc w:val="left"/>
        <w:rPr>
          <w:rFonts w:ascii="Segoe UI" w:eastAsia="宋体" w:hAnsi="Segoe UI" w:cs="Segoe UI"/>
          <w:color w:val="333333"/>
          <w:kern w:val="0"/>
          <w:sz w:val="18"/>
          <w:szCs w:val="18"/>
        </w:rPr>
      </w:pPr>
      <w:r w:rsidRPr="007C4DB5">
        <w:rPr>
          <w:rFonts w:ascii="宋体" w:eastAsia="宋体" w:hAnsi="宋体" w:cs="Segoe UI" w:hint="eastAsia"/>
          <w:color w:val="333333"/>
          <w:kern w:val="0"/>
          <w:sz w:val="22"/>
        </w:rPr>
        <w:t> </w:t>
      </w:r>
      <w:r w:rsidRPr="007C4DB5">
        <w:rPr>
          <w:rFonts w:ascii="宋体" w:eastAsia="宋体" w:hAnsi="宋体" w:cs="Segoe UI" w:hint="eastAsia"/>
          <w:color w:val="333333"/>
          <w:kern w:val="0"/>
          <w:sz w:val="16"/>
          <w:szCs w:val="16"/>
        </w:rPr>
        <w:t> </w:t>
      </w:r>
      <w:r w:rsidRPr="007C4DB5">
        <w:rPr>
          <w:rFonts w:ascii="宋体" w:eastAsia="宋体" w:hAnsi="宋体" w:cs="宋体" w:hint="eastAsia"/>
          <w:color w:val="333333"/>
          <w:kern w:val="0"/>
          <w:sz w:val="18"/>
          <w:szCs w:val="18"/>
        </w:rPr>
        <w:t>  </w:t>
      </w:r>
      <w:r w:rsidRPr="007C4DB5">
        <w:rPr>
          <w:rFonts w:ascii="仿宋" w:eastAsia="仿宋" w:hAnsi="仿宋" w:cs="Segoe UI" w:hint="eastAsia"/>
          <w:color w:val="333333"/>
          <w:spacing w:val="8"/>
          <w:kern w:val="0"/>
          <w:sz w:val="24"/>
          <w:szCs w:val="24"/>
        </w:rPr>
        <w:t>1、封面（公司、项目、联系人、联系方式）</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2、目录</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3、品目及报价表（格式见附件4-2）</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4、企业营业执照（复印件）</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5、</w:t>
      </w:r>
      <w:r w:rsidRPr="007C4DB5">
        <w:rPr>
          <w:rFonts w:ascii="仿宋" w:eastAsia="仿宋" w:hAnsi="仿宋" w:cs="Segoe UI" w:hint="eastAsia"/>
          <w:color w:val="333333"/>
          <w:kern w:val="0"/>
          <w:sz w:val="24"/>
          <w:szCs w:val="24"/>
        </w:rPr>
        <w:t>组织机构代码证、税务登记证（复印件）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6、法定代表人授权书（原件，格式见附件4-3）暨经办人授权书，法定代表人、经办人身份证（复印件）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7、生产厂家授权书（投标人不是生产厂家的）</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8、须提供“中华人民共和国医疗器械生产企业许可证”和“中华人民共和国医疗器械经营企业许可证”（复印件）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9、须提供“医疗器械产品注册证和注册登记表”（复印件）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10、产品质量和企业管理体系认证（考核），请提供的有效证明文件的复印或扫描件，质量管理体系认证包括FDA、CE、ISO等认证（提供中文翻译复印件）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11、质量检测中心或法定机构出具的产品检测报告，性能自测报告，出厂检验报告的复印或扫描件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12、其他证书：产品在技术、节能、安全、环保和自主创新方面获得的认证证书或制造厂家和产品所获国家级荣誉称号等复印或扫描件</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13、产品执行标准（提供产品注册标准：YZB等资料）</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14、产品质量及货源保证书</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15、进口产品，提供进口原材料证明书或产品报关资料等</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spacing w:val="8"/>
          <w:kern w:val="0"/>
          <w:sz w:val="24"/>
          <w:szCs w:val="24"/>
        </w:rPr>
        <w:t>16、产品说明书或</w:t>
      </w:r>
      <w:r w:rsidRPr="007C4DB5">
        <w:rPr>
          <w:rFonts w:ascii="仿宋" w:eastAsia="仿宋" w:hAnsi="仿宋" w:cs="Segoe UI" w:hint="eastAsia"/>
          <w:color w:val="333333"/>
          <w:kern w:val="0"/>
          <w:sz w:val="24"/>
          <w:szCs w:val="24"/>
        </w:rPr>
        <w:t>产品彩页资料和其他有关介绍资料。</w:t>
      </w:r>
    </w:p>
    <w:p w:rsidR="007C4DB5" w:rsidRPr="007C4DB5" w:rsidRDefault="007C4DB5" w:rsidP="007C4DB5">
      <w:pPr>
        <w:widowControl/>
        <w:shd w:val="clear" w:color="auto" w:fill="FFFFFF"/>
        <w:wordWrap w:val="0"/>
        <w:ind w:firstLine="512"/>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lastRenderedPageBreak/>
        <w:t>17、业绩证明文件（用户名单及联系人与联系方式，格式见附件3）</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18、</w:t>
      </w:r>
      <w:r w:rsidRPr="007C4DB5">
        <w:rPr>
          <w:rFonts w:ascii="仿宋" w:eastAsia="仿宋" w:hAnsi="仿宋" w:cs="Segoe UI" w:hint="eastAsia"/>
          <w:color w:val="333333"/>
          <w:spacing w:val="8"/>
          <w:kern w:val="0"/>
          <w:sz w:val="24"/>
          <w:szCs w:val="24"/>
        </w:rPr>
        <w:t>封底</w:t>
      </w:r>
    </w:p>
    <w:p w:rsidR="007C4DB5" w:rsidRPr="007C4DB5" w:rsidRDefault="007C4DB5" w:rsidP="007C4DB5">
      <w:pPr>
        <w:widowControl/>
        <w:shd w:val="clear" w:color="auto" w:fill="FFFFFF"/>
        <w:wordWrap w:val="0"/>
        <w:spacing w:line="234" w:lineRule="atLeast"/>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2"/>
        </w:rPr>
        <w:t>注：请务必按以上顺序装订资料，如有非中文资料，请同时提供中文翻译件。</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宋体" w:eastAsia="宋体" w:hAnsi="宋体" w:cs="宋体" w:hint="eastAsia"/>
          <w:b/>
          <w:bCs/>
          <w:color w:val="333333"/>
          <w:kern w:val="0"/>
          <w:sz w:val="24"/>
          <w:szCs w:val="24"/>
        </w:rPr>
        <w:t> </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附件4：主要表格格式</w:t>
      </w:r>
    </w:p>
    <w:p w:rsidR="007C4DB5" w:rsidRPr="007C4DB5" w:rsidRDefault="007C4DB5" w:rsidP="007C4DB5">
      <w:pPr>
        <w:widowControl/>
        <w:shd w:val="clear" w:color="auto" w:fill="FFFFFF"/>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附件4-1：</w:t>
      </w:r>
    </w:p>
    <w:p w:rsidR="007C4DB5" w:rsidRPr="007C4DB5" w:rsidRDefault="007C4DB5" w:rsidP="007C4DB5">
      <w:pPr>
        <w:widowControl/>
        <w:shd w:val="clear" w:color="auto" w:fill="FFFFFF"/>
        <w:wordWrap w:val="0"/>
        <w:jc w:val="center"/>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7C4DB5" w:rsidRPr="007C4DB5" w:rsidTr="007C4DB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备注</w:t>
            </w:r>
          </w:p>
        </w:tc>
      </w:tr>
      <w:tr w:rsidR="007C4DB5" w:rsidRPr="007C4DB5" w:rsidTr="007C4DB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仿宋" w:eastAsia="仿宋" w:hAnsi="仿宋"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spacing w:line="105" w:lineRule="atLeast"/>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仿宋" w:eastAsia="仿宋" w:hAnsi="仿宋"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r w:rsidR="007C4DB5" w:rsidRPr="007C4DB5" w:rsidTr="007C4DB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7C4DB5" w:rsidRPr="007C4DB5" w:rsidRDefault="007C4DB5" w:rsidP="007C4DB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DB5" w:rsidRPr="007C4DB5" w:rsidRDefault="007C4DB5" w:rsidP="007C4DB5">
            <w:pPr>
              <w:widowControl/>
              <w:wordWrap w:val="0"/>
              <w:jc w:val="center"/>
              <w:rPr>
                <w:rFonts w:ascii="宋体" w:eastAsia="宋体" w:hAnsi="宋体" w:cs="宋体"/>
                <w:kern w:val="0"/>
                <w:sz w:val="18"/>
                <w:szCs w:val="18"/>
              </w:rPr>
            </w:pPr>
            <w:r w:rsidRPr="007C4DB5">
              <w:rPr>
                <w:rFonts w:ascii="宋体" w:eastAsia="宋体" w:hAnsi="宋体" w:cs="宋体" w:hint="eastAsia"/>
                <w:kern w:val="0"/>
                <w:sz w:val="24"/>
                <w:szCs w:val="24"/>
              </w:rPr>
              <w:t> </w:t>
            </w:r>
          </w:p>
        </w:tc>
      </w:tr>
    </w:tbl>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p w:rsidR="007C4DB5" w:rsidRPr="007C4DB5" w:rsidRDefault="007C4DB5" w:rsidP="007C4DB5">
      <w:pPr>
        <w:widowControl/>
        <w:shd w:val="clear" w:color="auto" w:fill="FFFFFF"/>
        <w:wordWrap w:val="0"/>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法定代表人或授权代表签字：</w:t>
      </w:r>
    </w:p>
    <w:p w:rsidR="007C4DB5" w:rsidRPr="007C4DB5" w:rsidRDefault="007C4DB5" w:rsidP="007C4DB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日期</w:t>
      </w:r>
      <w:r w:rsidRPr="007C4DB5">
        <w:rPr>
          <w:rFonts w:ascii="仿宋" w:eastAsia="仿宋" w:hAnsi="仿宋" w:cs="Segoe UI" w:hint="eastAsia"/>
          <w:b/>
          <w:bCs/>
          <w:color w:val="333333"/>
          <w:kern w:val="0"/>
          <w:sz w:val="24"/>
          <w:szCs w:val="24"/>
        </w:rPr>
        <w:t>:</w:t>
      </w:r>
    </w:p>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7C4DB5">
        <w:rPr>
          <w:rFonts w:ascii="仿宋" w:eastAsia="仿宋" w:hAnsi="仿宋" w:cs="Segoe UI" w:hint="eastAsia"/>
          <w:b/>
          <w:bCs/>
          <w:color w:val="333333"/>
          <w:kern w:val="0"/>
          <w:sz w:val="24"/>
          <w:szCs w:val="24"/>
        </w:rPr>
        <w:t>附件4-2：</w:t>
      </w:r>
    </w:p>
    <w:p w:rsidR="007C4DB5" w:rsidRPr="007C4DB5" w:rsidRDefault="007C4DB5" w:rsidP="007C4DB5">
      <w:pPr>
        <w:widowControl/>
        <w:shd w:val="clear" w:color="auto" w:fill="FFFFFF"/>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32"/>
          <w:szCs w:val="32"/>
        </w:rPr>
        <w:t>品目及价格表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7C4DB5" w:rsidRPr="007C4DB5" w:rsidTr="007C4DB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备注</w:t>
            </w:r>
          </w:p>
        </w:tc>
      </w:tr>
      <w:tr w:rsidR="007C4DB5" w:rsidRPr="007C4DB5" w:rsidTr="007C4DB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r>
      <w:tr w:rsidR="007C4DB5" w:rsidRPr="007C4DB5" w:rsidTr="007C4DB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r>
      <w:tr w:rsidR="007C4DB5" w:rsidRPr="007C4DB5" w:rsidTr="007C4DB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4DB5" w:rsidRPr="007C4DB5" w:rsidRDefault="007C4DB5" w:rsidP="007C4DB5">
            <w:pPr>
              <w:widowControl/>
              <w:wordWrap w:val="0"/>
              <w:jc w:val="center"/>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tc>
      </w:tr>
    </w:tbl>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注：1.报价应是最终用户验收合格后的总价，包括设备运输、保险、代理、安装调试、培训、税费、系统集成费用和采购文件规定的其它费用。</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2、如有配套耗材，请参照此表报价。</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3、如有多种规格，请按每种规格分别报价。</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供应商名称：（盖章）</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法定代表人或授权代表（签字）：日期：</w:t>
      </w:r>
    </w:p>
    <w:p w:rsidR="007C4DB5" w:rsidRPr="007C4DB5" w:rsidRDefault="007C4DB5" w:rsidP="007C4DB5">
      <w:pPr>
        <w:widowControl/>
        <w:shd w:val="clear" w:color="auto" w:fill="FFFFFF"/>
        <w:wordWrap w:val="0"/>
        <w:ind w:left="720" w:hanging="720"/>
        <w:jc w:val="left"/>
        <w:rPr>
          <w:rFonts w:ascii="Segoe UI" w:eastAsia="宋体" w:hAnsi="Segoe UI" w:cs="Segoe UI"/>
          <w:color w:val="333333"/>
          <w:kern w:val="0"/>
          <w:sz w:val="18"/>
          <w:szCs w:val="18"/>
        </w:rPr>
      </w:pPr>
      <w:r w:rsidRPr="007C4DB5">
        <w:rPr>
          <w:rFonts w:ascii="仿宋" w:eastAsia="仿宋" w:hAnsi="仿宋" w:cs="Segoe UI" w:hint="eastAsia"/>
          <w:b/>
          <w:bCs/>
          <w:color w:val="333333"/>
          <w:kern w:val="0"/>
          <w:sz w:val="24"/>
          <w:szCs w:val="24"/>
        </w:rPr>
        <w:t>附件4-3：法定代表人身份授权书</w:t>
      </w:r>
    </w:p>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r w:rsidRPr="007C4DB5">
        <w:rPr>
          <w:rFonts w:ascii="仿宋" w:eastAsia="仿宋" w:hAnsi="仿宋" w:cs="Segoe UI" w:hint="eastAsia"/>
          <w:color w:val="000000"/>
          <w:kern w:val="0"/>
          <w:sz w:val="24"/>
          <w:szCs w:val="24"/>
        </w:rPr>
        <w:t>（采购单位名称）：</w:t>
      </w:r>
    </w:p>
    <w:p w:rsidR="007C4DB5" w:rsidRPr="007C4DB5" w:rsidRDefault="007C4DB5" w:rsidP="007C4DB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C4DB5">
        <w:rPr>
          <w:rFonts w:ascii="仿宋" w:eastAsia="仿宋" w:hAnsi="仿宋" w:cs="Segoe UI" w:hint="eastAsia"/>
          <w:color w:val="000000"/>
          <w:kern w:val="0"/>
          <w:sz w:val="24"/>
          <w:szCs w:val="24"/>
        </w:rPr>
        <w:t>本授权声明：（投标人名称）</w:t>
      </w:r>
    </w:p>
    <w:p w:rsidR="007C4DB5" w:rsidRPr="007C4DB5" w:rsidRDefault="007C4DB5" w:rsidP="007C4DB5">
      <w:pPr>
        <w:widowControl/>
        <w:shd w:val="clear" w:color="auto" w:fill="FFFFFF"/>
        <w:wordWrap w:val="0"/>
        <w:spacing w:line="270" w:lineRule="atLeast"/>
        <w:jc w:val="left"/>
        <w:rPr>
          <w:rFonts w:ascii="Segoe UI" w:eastAsia="宋体" w:hAnsi="Segoe UI" w:cs="Segoe UI"/>
          <w:color w:val="333333"/>
          <w:kern w:val="0"/>
          <w:sz w:val="18"/>
          <w:szCs w:val="18"/>
        </w:rPr>
      </w:pPr>
      <w:r w:rsidRPr="007C4DB5">
        <w:rPr>
          <w:rFonts w:ascii="仿宋" w:eastAsia="仿宋" w:hAnsi="仿宋" w:cs="Segoe UI" w:hint="eastAsia"/>
          <w:color w:val="000000"/>
          <w:kern w:val="0"/>
          <w:sz w:val="24"/>
          <w:szCs w:val="24"/>
        </w:rPr>
        <w:t>（法定代表人姓名、职务）授权（被授权人姓名、职务）为我方</w:t>
      </w:r>
      <w:r w:rsidRPr="007C4DB5">
        <w:rPr>
          <w:rFonts w:ascii="仿宋" w:eastAsia="仿宋" w:hAnsi="仿宋" w:cs="Segoe UI" w:hint="eastAsia"/>
          <w:color w:val="000000"/>
          <w:kern w:val="0"/>
          <w:sz w:val="24"/>
          <w:szCs w:val="24"/>
          <w:u w:val="single"/>
        </w:rPr>
        <w:t>“”</w:t>
      </w:r>
      <w:r w:rsidRPr="007C4DB5">
        <w:rPr>
          <w:rFonts w:ascii="仿宋" w:eastAsia="仿宋" w:hAnsi="仿宋" w:cs="Segoe UI" w:hint="eastAsia"/>
          <w:color w:val="000000"/>
          <w:kern w:val="0"/>
          <w:sz w:val="24"/>
          <w:szCs w:val="24"/>
        </w:rPr>
        <w:t>项目投标活动的合法代表，以我方名义全权处理该项目有关投标、签订合同以及执行合同等一切事宜。</w:t>
      </w:r>
    </w:p>
    <w:p w:rsidR="007C4DB5" w:rsidRPr="007C4DB5" w:rsidRDefault="007C4DB5" w:rsidP="007C4DB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lastRenderedPageBreak/>
        <w:t>特此声明。</w:t>
      </w:r>
    </w:p>
    <w:p w:rsidR="007C4DB5" w:rsidRPr="007C4DB5" w:rsidRDefault="007C4DB5" w:rsidP="007C4DB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法定代表人签字：</w:t>
      </w:r>
    </w:p>
    <w:p w:rsidR="007C4DB5" w:rsidRPr="007C4DB5" w:rsidRDefault="007C4DB5" w:rsidP="007C4DB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授权代表签字：</w:t>
      </w:r>
    </w:p>
    <w:p w:rsidR="007C4DB5" w:rsidRPr="007C4DB5" w:rsidRDefault="007C4DB5" w:rsidP="007C4DB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投标人名称：（加盖公章）</w:t>
      </w:r>
    </w:p>
    <w:p w:rsidR="007C4DB5" w:rsidRPr="007C4DB5" w:rsidRDefault="007C4DB5" w:rsidP="007C4DB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日期：</w:t>
      </w:r>
    </w:p>
    <w:p w:rsidR="007C4DB5" w:rsidRPr="007C4DB5" w:rsidRDefault="007C4DB5" w:rsidP="007C4DB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★说明：上述证明文件附有法定代表人、被授权代表身份证复印件（加盖公章）时才能生效。</w:t>
      </w:r>
    </w:p>
    <w:p w:rsidR="007C4DB5" w:rsidRPr="007C4DB5" w:rsidRDefault="007C4DB5" w:rsidP="007C4DB5">
      <w:pPr>
        <w:widowControl/>
        <w:shd w:val="clear" w:color="auto" w:fill="FFFFFF"/>
        <w:wordWrap w:val="0"/>
        <w:jc w:val="left"/>
        <w:rPr>
          <w:rFonts w:ascii="Segoe UI" w:eastAsia="宋体" w:hAnsi="Segoe UI" w:cs="Segoe UI"/>
          <w:color w:val="333333"/>
          <w:kern w:val="0"/>
          <w:sz w:val="18"/>
          <w:szCs w:val="18"/>
        </w:rPr>
      </w:pPr>
      <w:r w:rsidRPr="007C4DB5">
        <w:rPr>
          <w:rFonts w:ascii="宋体" w:eastAsia="宋体" w:hAnsi="宋体" w:cs="Segoe UI" w:hint="eastAsia"/>
          <w:color w:val="333333"/>
          <w:kern w:val="0"/>
          <w:sz w:val="24"/>
          <w:szCs w:val="24"/>
        </w:rPr>
        <w:t> </w:t>
      </w:r>
    </w:p>
    <w:p w:rsidR="007C4DB5" w:rsidRPr="007C4DB5" w:rsidRDefault="007C4DB5" w:rsidP="007C4DB5">
      <w:pPr>
        <w:widowControl/>
        <w:shd w:val="clear" w:color="auto" w:fill="FFFFFF"/>
        <w:wordWrap w:val="0"/>
        <w:spacing w:line="270" w:lineRule="atLeast"/>
        <w:ind w:firstLine="1440"/>
        <w:jc w:val="left"/>
        <w:rPr>
          <w:rFonts w:ascii="Segoe UI" w:eastAsia="宋体" w:hAnsi="Segoe UI" w:cs="Segoe UI"/>
          <w:color w:val="333333"/>
          <w:kern w:val="0"/>
          <w:sz w:val="18"/>
          <w:szCs w:val="18"/>
        </w:rPr>
      </w:pPr>
      <w:r w:rsidRPr="007C4DB5">
        <w:rPr>
          <w:rFonts w:ascii="仿宋" w:eastAsia="仿宋" w:hAnsi="仿宋" w:cs="Segoe UI" w:hint="eastAsia"/>
          <w:color w:val="333333"/>
          <w:kern w:val="0"/>
          <w:sz w:val="24"/>
          <w:szCs w:val="24"/>
        </w:rPr>
        <w:t>承诺企业名称（公章）法人代表或委托代理人（承诺人）</w:t>
      </w:r>
    </w:p>
    <w:p w:rsidR="008C3796" w:rsidRPr="007C4DB5" w:rsidRDefault="008C3796"/>
    <w:sectPr w:rsidR="008C3796" w:rsidRPr="007C4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96" w:rsidRDefault="008C3796" w:rsidP="007C4DB5">
      <w:r>
        <w:separator/>
      </w:r>
    </w:p>
  </w:endnote>
  <w:endnote w:type="continuationSeparator" w:id="1">
    <w:p w:rsidR="008C3796" w:rsidRDefault="008C3796" w:rsidP="007C4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96" w:rsidRDefault="008C3796" w:rsidP="007C4DB5">
      <w:r>
        <w:separator/>
      </w:r>
    </w:p>
  </w:footnote>
  <w:footnote w:type="continuationSeparator" w:id="1">
    <w:p w:rsidR="008C3796" w:rsidRDefault="008C3796" w:rsidP="007C4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DB5"/>
    <w:rsid w:val="007C4DB5"/>
    <w:rsid w:val="008C3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DB5"/>
    <w:rPr>
      <w:sz w:val="18"/>
      <w:szCs w:val="18"/>
    </w:rPr>
  </w:style>
  <w:style w:type="paragraph" w:styleId="a4">
    <w:name w:val="footer"/>
    <w:basedOn w:val="a"/>
    <w:link w:val="Char0"/>
    <w:uiPriority w:val="99"/>
    <w:semiHidden/>
    <w:unhideWhenUsed/>
    <w:rsid w:val="007C4D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DB5"/>
    <w:rPr>
      <w:sz w:val="18"/>
      <w:szCs w:val="18"/>
    </w:rPr>
  </w:style>
  <w:style w:type="paragraph" w:styleId="a5">
    <w:name w:val="Normal (Web)"/>
    <w:basedOn w:val="a"/>
    <w:uiPriority w:val="99"/>
    <w:unhideWhenUsed/>
    <w:rsid w:val="007C4D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65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2019-05-29T01:30:00Z</dcterms:created>
  <dcterms:modified xsi:type="dcterms:W3CDTF">2019-05-29T01:34:00Z</dcterms:modified>
</cp:coreProperties>
</file>