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附件1：</w:t>
      </w:r>
      <w:bookmarkStart w:id="0" w:name="_Toc409182810"/>
      <w:bookmarkStart w:id="1" w:name="_Toc453961723"/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GCP</w:t>
      </w:r>
      <w:r>
        <w:rPr>
          <w:rFonts w:hint="eastAsia" w:ascii="仿宋_GB2312" w:hAnsi="宋体" w:eastAsia="仿宋_GB2312"/>
          <w:b/>
          <w:sz w:val="28"/>
          <w:szCs w:val="28"/>
        </w:rPr>
        <w:t>仪器设备院内采购需求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0"/>
        <w:rPr>
          <w:rFonts w:hint="default" w:ascii="微软雅黑" w:hAnsi="微软雅黑" w:eastAsia="微软雅黑" w:cs="微软雅黑"/>
          <w:b/>
          <w:sz w:val="21"/>
          <w:szCs w:val="21"/>
          <w:lang w:val="en-US"/>
        </w:rPr>
      </w:pPr>
      <w:bookmarkStart w:id="2" w:name="_Toc4916_WPSOffice_Level1"/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一．</w:t>
      </w:r>
      <w:bookmarkEnd w:id="2"/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温湿度采集《温湿度实时监控及远程报警装置》（温湿）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一.  主要功能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用于GCP相关的药物存储设备的实时温湿度监控。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二.  技术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参数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1.对温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湿</w:t>
      </w:r>
      <w:r>
        <w:rPr>
          <w:rFonts w:hint="eastAsia" w:ascii="微软雅黑" w:hAnsi="微软雅黑" w:eastAsia="微软雅黑" w:cs="微软雅黑"/>
          <w:sz w:val="18"/>
          <w:szCs w:val="18"/>
        </w:rPr>
        <w:t>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进</w:t>
      </w:r>
      <w:r>
        <w:rPr>
          <w:rFonts w:hint="eastAsia" w:ascii="微软雅黑" w:hAnsi="微软雅黑" w:eastAsia="微软雅黑" w:cs="微软雅黑"/>
          <w:sz w:val="18"/>
          <w:szCs w:val="18"/>
        </w:rPr>
        <w:t>行实时监测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可以直观看到温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湿</w:t>
      </w:r>
      <w:r>
        <w:rPr>
          <w:rFonts w:hint="eastAsia" w:ascii="微软雅黑" w:hAnsi="微软雅黑" w:eastAsia="微软雅黑" w:cs="微软雅黑"/>
          <w:sz w:val="18"/>
          <w:szCs w:val="18"/>
        </w:rPr>
        <w:t>度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</w:rPr>
        <w:t>2.出现温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湿</w:t>
      </w:r>
      <w:r>
        <w:rPr>
          <w:rFonts w:hint="eastAsia" w:ascii="微软雅黑" w:hAnsi="微软雅黑" w:eastAsia="微软雅黑" w:cs="微软雅黑"/>
          <w:sz w:val="18"/>
          <w:szCs w:val="18"/>
        </w:rPr>
        <w:t>度超限时发送短信或微信报警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兼容移动、联通SIM卡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</w:rPr>
        <w:t>3.测试范围：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温度范围：</w:t>
      </w:r>
      <w:r>
        <w:rPr>
          <w:rFonts w:hint="eastAsia" w:ascii="微软雅黑" w:hAnsi="微软雅黑" w:eastAsia="微软雅黑" w:cs="微软雅黑"/>
          <w:sz w:val="18"/>
          <w:szCs w:val="18"/>
        </w:rPr>
        <w:t>0℃～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18"/>
          <w:szCs w:val="18"/>
        </w:rPr>
        <w:t>℃；精度≤±0.3℃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；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湿度范围20%</w:t>
      </w:r>
      <w:r>
        <w:rPr>
          <w:rFonts w:hint="eastAsia" w:ascii="微软雅黑" w:hAnsi="微软雅黑" w:eastAsia="微软雅黑" w:cs="微软雅黑"/>
          <w:sz w:val="18"/>
          <w:szCs w:val="18"/>
        </w:rPr>
        <w:t>～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80%</w:t>
      </w:r>
      <w:r>
        <w:rPr>
          <w:rFonts w:hint="eastAsia" w:ascii="微软雅黑" w:hAnsi="微软雅黑" w:eastAsia="微软雅黑" w:cs="微软雅黑"/>
          <w:sz w:val="18"/>
          <w:szCs w:val="18"/>
        </w:rPr>
        <w:t>；精度≤±0.3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%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4.探头外壳防护，有效防凝露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</w:rPr>
        <w:t>5.4G的GPRS通信，数据直接发送到互联网。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cs="Times New Roman"/>
          <w:bCs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18"/>
          <w:szCs w:val="18"/>
        </w:rPr>
        <w:t>.本地具有声光报警，除温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湿</w:t>
      </w:r>
      <w:r>
        <w:rPr>
          <w:rFonts w:hint="eastAsia" w:ascii="微软雅黑" w:hAnsi="微软雅黑" w:eastAsia="微软雅黑" w:cs="微软雅黑"/>
          <w:sz w:val="18"/>
          <w:szCs w:val="18"/>
        </w:rPr>
        <w:t>度超限报警、传感器故障报警外，可监测断电报警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cs="Times New Roman"/>
          <w:bCs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可每分钟采集一次温湿度数据。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三.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主要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主机一台；温湿度探头一个。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 w:val="0"/>
          <w:sz w:val="18"/>
          <w:szCs w:val="18"/>
        </w:rPr>
        <w:t xml:space="preserve">四.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 技术支持及服务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  由供应商或生产商负责免费到校安装调试,定期维护终身维修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  对最终用户在安装现场或国内进行免费人员培训2人以上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  售后服务应在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18"/>
          <w:szCs w:val="18"/>
        </w:rPr>
        <w:t>个工作日内达到现场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  产品保修期1年，在质保期内属产品质量问题所发生的一切费用由供方负担</w:t>
      </w:r>
    </w:p>
    <w:p>
      <w:pPr>
        <w:spacing w:line="400" w:lineRule="exact"/>
        <w:rPr>
          <w:rFonts w:cs="宋体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0"/>
        <w:rPr>
          <w:rFonts w:hint="default" w:ascii="微软雅黑" w:hAnsi="微软雅黑" w:eastAsia="微软雅黑" w:cs="微软雅黑"/>
          <w:b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二．温度采集《温湿度实时监控及远程报警装置》（单温）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一.  主要功能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用于GCP相关的药物存储设备的实时温湿度监控。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二.  技术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参数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1.对温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湿</w:t>
      </w:r>
      <w:r>
        <w:rPr>
          <w:rFonts w:hint="eastAsia" w:ascii="微软雅黑" w:hAnsi="微软雅黑" w:eastAsia="微软雅黑" w:cs="微软雅黑"/>
          <w:sz w:val="18"/>
          <w:szCs w:val="18"/>
        </w:rPr>
        <w:t>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进</w:t>
      </w:r>
      <w:r>
        <w:rPr>
          <w:rFonts w:hint="eastAsia" w:ascii="微软雅黑" w:hAnsi="微软雅黑" w:eastAsia="微软雅黑" w:cs="微软雅黑"/>
          <w:sz w:val="18"/>
          <w:szCs w:val="18"/>
        </w:rPr>
        <w:t>行实时监测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可以直观看到温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湿</w:t>
      </w:r>
      <w:r>
        <w:rPr>
          <w:rFonts w:hint="eastAsia" w:ascii="微软雅黑" w:hAnsi="微软雅黑" w:eastAsia="微软雅黑" w:cs="微软雅黑"/>
          <w:sz w:val="18"/>
          <w:szCs w:val="18"/>
        </w:rPr>
        <w:t>度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</w:rPr>
        <w:t>2.出现温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湿</w:t>
      </w:r>
      <w:r>
        <w:rPr>
          <w:rFonts w:hint="eastAsia" w:ascii="微软雅黑" w:hAnsi="微软雅黑" w:eastAsia="微软雅黑" w:cs="微软雅黑"/>
          <w:sz w:val="18"/>
          <w:szCs w:val="18"/>
        </w:rPr>
        <w:t>度超限时发送短信或微信报警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8"/>
          <w:szCs w:val="18"/>
        </w:rPr>
        <w:t>兼容移动、联通SIM卡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</w:rPr>
        <w:t>3.测试范围：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温度范围：-25</w:t>
      </w:r>
      <w:r>
        <w:rPr>
          <w:rFonts w:hint="eastAsia" w:ascii="微软雅黑" w:hAnsi="微软雅黑" w:eastAsia="微软雅黑" w:cs="微软雅黑"/>
          <w:sz w:val="18"/>
          <w:szCs w:val="18"/>
        </w:rPr>
        <w:t>℃～30℃；精度≤±0.3℃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4.探头外壳防护，有效防凝露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</w:rPr>
        <w:t>5.4G的GPRS通信，数据直接发送到互联网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cs="Times New Roman"/>
          <w:bCs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18"/>
          <w:szCs w:val="18"/>
        </w:rPr>
        <w:t>.本地具有声光报警，除温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湿</w:t>
      </w:r>
      <w:r>
        <w:rPr>
          <w:rFonts w:hint="eastAsia" w:ascii="微软雅黑" w:hAnsi="微软雅黑" w:eastAsia="微软雅黑" w:cs="微软雅黑"/>
          <w:sz w:val="18"/>
          <w:szCs w:val="18"/>
        </w:rPr>
        <w:t>度超限报警、传感器故障报警外，可监测断电报警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cs="Times New Roman"/>
          <w:bCs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可每分钟采集一次温度数据。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三.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主要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主机一台；温度探头一个。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 w:val="0"/>
          <w:sz w:val="18"/>
          <w:szCs w:val="18"/>
        </w:rPr>
        <w:t xml:space="preserve">四.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 技术支持及服务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  由供应商或生产商负责免费到校安装调试,定期维护终身维修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  对最终用户在安装现场或国内进行免费人员培训2人以上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  售后服务应在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18"/>
          <w:szCs w:val="18"/>
        </w:rPr>
        <w:t>个工作日内达到现场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  产品保修期1年，在质保期内属产品质量问题所发生的一切费用由供方负担</w:t>
      </w:r>
    </w:p>
    <w:p>
      <w:pPr>
        <w:spacing w:line="400" w:lineRule="exact"/>
        <w:rPr>
          <w:rFonts w:cs="宋体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0"/>
        <w:rPr>
          <w:rFonts w:hint="default" w:ascii="微软雅黑" w:hAnsi="微软雅黑" w:eastAsia="微软雅黑" w:cs="微软雅黑"/>
          <w:b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三．转运箱《转运用药品保温箱（简易）》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一.  主要功能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用于GCP相关的药物的短途转运。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二.  技术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参数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保温箱由：保温层、蓄冷板、内外保护层和固定结构等组成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2配用转用的蓄冷盒（袋），环境温度40</w:t>
      </w:r>
      <w:r>
        <w:rPr>
          <w:rFonts w:hint="eastAsia" w:ascii="微软雅黑" w:hAnsi="微软雅黑" w:eastAsia="微软雅黑" w:cs="微软雅黑"/>
          <w:sz w:val="18"/>
          <w:szCs w:val="18"/>
        </w:rPr>
        <w:t>℃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以下，冷藏箱不开箱温度范围在2至10</w:t>
      </w:r>
      <w:r>
        <w:rPr>
          <w:rFonts w:hint="eastAsia" w:ascii="微软雅黑" w:hAnsi="微软雅黑" w:eastAsia="微软雅黑" w:cs="微软雅黑"/>
          <w:sz w:val="18"/>
          <w:szCs w:val="18"/>
        </w:rPr>
        <w:t>℃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至少保温时间为24h。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3箱门有锁扣。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4带有温度显示器。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5容积为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10L——16L。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sz w:val="18"/>
          <w:szCs w:val="18"/>
          <w:highlight w:val="none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6转运药物可与冰盒隔离。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微软雅黑" w:hAnsi="微软雅黑" w:eastAsia="微软雅黑" w:cs="微软雅黑"/>
          <w:sz w:val="18"/>
          <w:szCs w:val="1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7所用材料无毒、无害、无味。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三. 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主要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保温箱一个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-SA"/>
        </w:rPr>
        <w:t>；冰盒（袋）数个。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 w:val="0"/>
          <w:sz w:val="18"/>
          <w:szCs w:val="18"/>
        </w:rPr>
        <w:t xml:space="preserve">四.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 技术支持及服务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  由供应商或生产商负责免费到校安装调试,定期维护终身维修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  对最终用户在安装现场或国内进行免费人员培训2人以上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  售后服务应在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18"/>
          <w:szCs w:val="18"/>
        </w:rPr>
        <w:t>个工作日内达到现场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  产品保修期1年，在质保期内属产品质量问题所发生的一切费用由供方负担</w:t>
      </w: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</w:p>
    <w:p>
      <w:pPr>
        <w:spacing w:line="4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附件2：评分标准</w:t>
      </w:r>
      <w:bookmarkEnd w:id="0"/>
      <w:bookmarkEnd w:id="1"/>
    </w:p>
    <w:p>
      <w:pPr>
        <w:jc w:val="center"/>
        <w:rPr>
          <w:b/>
          <w:sz w:val="24"/>
        </w:rPr>
      </w:pP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96"/>
        <w:gridCol w:w="706"/>
        <w:gridCol w:w="547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评分因素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分值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评分标准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说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投标报价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hint="default" w:ascii="宋体" w:hAnsi="宋体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满足招标文件要求且投标价格最低的投标报价为评标基准价，其价格分为满分。其他投标单位的价格分统一按照下列公式计算：投标报价得分=(评标基准价／投标报价)×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bookmarkStart w:id="6" w:name="_GoBack"/>
            <w:bookmarkEnd w:id="6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技术指标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投标产品的技术参数完全符合招标文件要求没有负偏离得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分；非“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”条款技术参数不满足招标文件要求（负偏离），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一项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扣分，“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”条款技术参数与招标文件要求有负偏离的，一项扣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；扣完为止。</w:t>
            </w:r>
          </w:p>
          <w:p>
            <w:pPr>
              <w:widowControl/>
              <w:wordWrap w:val="0"/>
              <w:spacing w:line="27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注：1.针对投标产品的“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”号条款技术参数，投标人应提供技术支持资料，技术支持资料指包括产品的彩页、操作手册、产品说明书、检测报告、医疗器械注册产品标准等资料证明；</w:t>
            </w:r>
          </w:p>
          <w:p>
            <w:pPr>
              <w:widowControl/>
              <w:wordWrap w:val="0"/>
              <w:spacing w:line="27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2.如果投标产品中的某条“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”号条款技术参数没有按照以上要求提供技术支持资料的，该条技术参数在评审中将不予认定！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业绩5%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对投标人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以来至投标截止日期销售业绩进行评比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投标人需提供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分子生物实验室或细胞实验室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西南地区高校或者医院用户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名单，每提供1家得1分，最多5分。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default" w:ascii="宋体" w:hAnsi="宋体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提供中标通知书或送货发票或合同复印件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并加盖公司鲜章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售后服务及培训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atLeast"/>
              <w:ind w:left="-105" w:right="-10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270" w:lineRule="atLeas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投标人提供售后服务方案，包括不限于售后服务响应时间、现场服务支持能力、售后巡检、质量保证范围、培训得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分，少一项扣 0.5分，扣完为止。售后服务方案不能保证项目实施的，得0分。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投标文件的规范性1%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投标文件制作规范，没有细微偏差情形的得1分；有一项细微偏差扣0.5分，直至该项分值扣完为止。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根据投标人投标文件编制情况进行评分。</w:t>
            </w:r>
          </w:p>
        </w:tc>
      </w:tr>
    </w:tbl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</w:p>
    <w:p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附件3：</w:t>
      </w:r>
    </w:p>
    <w:p>
      <w:pPr>
        <w:spacing w:line="400" w:lineRule="exac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0" w:lineRule="atLeast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采购文件书装订顺序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1、封面（公司、项目、联系人、联系方式）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2、目录</w:t>
      </w:r>
    </w:p>
    <w:p>
      <w:pPr>
        <w:tabs>
          <w:tab w:val="left" w:pos="0"/>
        </w:tabs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3、品目及报价表（格式见附件4）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4、偏离表（格式见附件4）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6、法定代表人授权书（原件，格式见附件4）暨经办人授权书，法人、经办人身份证（复印件）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ascii="仿宋_GB2312" w:hAnsi="宋体" w:eastAsia="仿宋_GB2312"/>
          <w:bCs/>
          <w:spacing w:val="8"/>
          <w:sz w:val="28"/>
          <w:szCs w:val="28"/>
        </w:rPr>
        <w:t>7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8、用户情况表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9、项目组成员配备情况表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10、封底</w:t>
      </w:r>
    </w:p>
    <w:p>
      <w:pPr>
        <w:tabs>
          <w:tab w:val="left" w:pos="0"/>
        </w:tabs>
        <w:spacing w:line="0" w:lineRule="atLeas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注：请务必按以上顺序装订资料，如有非中文资料，请同时提供中文翻译件。</w:t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附件4：主要表格格式</w:t>
      </w: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4"/>
        </w:rPr>
        <w:t>附件4-1：</w:t>
      </w:r>
      <w:r>
        <w:rPr>
          <w:rFonts w:hint="eastAsia" w:ascii="仿宋_GB2312" w:hAnsi="宋体" w:eastAsia="仿宋_GB2312"/>
          <w:b/>
          <w:sz w:val="28"/>
          <w:szCs w:val="28"/>
        </w:rPr>
        <w:t>报价表</w:t>
      </w:r>
    </w:p>
    <w:p>
      <w:pPr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center"/>
        <w:rPr>
          <w:rFonts w:ascii="Segoe UI" w:hAnsi="Segoe UI" w:eastAsia="宋体" w:cs="Segoe UI"/>
          <w:color w:val="333333"/>
          <w:kern w:val="0"/>
          <w:sz w:val="16"/>
          <w:szCs w:val="16"/>
        </w:rPr>
      </w:pPr>
      <w:r>
        <w:rPr>
          <w:rFonts w:hint="eastAsia" w:ascii="黑体" w:hAnsi="黑体" w:eastAsia="黑体" w:cs="Segoe UI"/>
          <w:color w:val="000000"/>
          <w:kern w:val="0"/>
          <w:sz w:val="32"/>
          <w:szCs w:val="32"/>
        </w:rPr>
        <w:t>报价表</w:t>
      </w:r>
    </w:p>
    <w:tbl>
      <w:tblPr>
        <w:tblStyle w:val="3"/>
        <w:tblW w:w="771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2948"/>
        <w:gridCol w:w="774"/>
        <w:gridCol w:w="802"/>
        <w:gridCol w:w="1236"/>
        <w:gridCol w:w="1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温湿度采集器《温湿度实时监控及远程报警装置》（温湿）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温湿度采集器《温湿度实时监控及远程报警装置》（单温）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转运箱《转运用药品保温箱（简易）》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Cs/>
          <w:szCs w:val="21"/>
        </w:rPr>
      </w:pPr>
    </w:p>
    <w:p>
      <w:pPr>
        <w:spacing w:line="400" w:lineRule="exact"/>
        <w:rPr>
          <w:rFonts w:hint="eastAsia" w:ascii="宋体" w:hAnsi="宋体"/>
          <w:bCs/>
          <w:szCs w:val="21"/>
        </w:rPr>
      </w:pPr>
    </w:p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注：“品目及报价表”需单独密封。</w:t>
      </w:r>
    </w:p>
    <w:p>
      <w:pPr>
        <w:adjustRightInd w:val="0"/>
        <w:spacing w:line="400" w:lineRule="exact"/>
        <w:ind w:firstLine="525" w:firstLineChars="2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法定代表人或授权代表（签字）：                   联系方式：        </w:t>
      </w:r>
    </w:p>
    <w:p>
      <w:pPr>
        <w:spacing w:line="400" w:lineRule="exact"/>
        <w:ind w:firstLine="48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日期：</w:t>
      </w:r>
    </w:p>
    <w:p>
      <w:pPr>
        <w:rPr>
          <w:rFonts w:ascii="宋体" w:hAnsi="宋体"/>
          <w:bCs/>
          <w:szCs w:val="21"/>
        </w:rPr>
      </w:pPr>
    </w:p>
    <w:p>
      <w:pPr>
        <w:jc w:val="center"/>
        <w:rPr>
          <w:rFonts w:ascii="宋体" w:hAnsi="宋体"/>
          <w:bCs/>
          <w:szCs w:val="21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pacing w:line="40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附件4-2：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eastAsia="仿宋_GB2312"/>
          <w:b/>
          <w:sz w:val="24"/>
        </w:rPr>
        <w:t>偏离表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795"/>
        <w:gridCol w:w="2795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偏离及其影响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adjustRightInd w:val="0"/>
        <w:spacing w:line="360" w:lineRule="auto"/>
        <w:ind w:firstLine="420" w:firstLineChars="175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360" w:firstLineChars="150"/>
        <w:jc w:val="left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日期:</w:t>
      </w:r>
    </w:p>
    <w:p>
      <w:pPr>
        <w:spacing w:line="360" w:lineRule="auto"/>
        <w:rPr>
          <w:rFonts w:hint="eastAsia" w:ascii="仿宋_GB2312" w:eastAsia="仿宋_GB2312"/>
          <w:b/>
          <w:bCs/>
          <w:sz w:val="24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附件4-3：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用户情况表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1"/>
        <w:gridCol w:w="1260"/>
        <w:gridCol w:w="215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日期</w:t>
      </w:r>
      <w:r>
        <w:rPr>
          <w:rFonts w:hint="eastAsia" w:ascii="仿宋_GB2312" w:hAnsi="宋体" w:eastAsia="仿宋_GB2312"/>
          <w:b/>
          <w:sz w:val="24"/>
        </w:rPr>
        <w:t>:</w:t>
      </w: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spacing w:line="360" w:lineRule="auto"/>
        <w:ind w:firstLine="451" w:firstLineChars="187"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3" w:name="_Toc237343703"/>
      <w:bookmarkStart w:id="4" w:name="_Toc174767233"/>
      <w:bookmarkStart w:id="5" w:name="_Toc95295163"/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eastAsia="仿宋_GB2312"/>
          <w:bCs/>
          <w:sz w:val="24"/>
        </w:rPr>
        <w:t>4-4：</w:t>
      </w:r>
      <w:r>
        <w:rPr>
          <w:rFonts w:hint="eastAsia"/>
          <w:sz w:val="24"/>
          <w:szCs w:val="24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说明：上述证明文件附有法定代表人、被授权代表身份证复印件（加盖公章）时才能生效。</w:t>
      </w:r>
      <w:bookmarkEnd w:id="3"/>
      <w:bookmarkEnd w:id="4"/>
      <w:bookmarkEnd w:id="5"/>
    </w:p>
    <w:p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b/>
          <w:szCs w:val="21"/>
        </w:rPr>
      </w:pPr>
      <w:r>
        <w:rPr>
          <w:rFonts w:hint="eastAsia" w:ascii="宋体" w:hAnsi="宋体"/>
          <w:b/>
          <w:sz w:val="24"/>
        </w:rPr>
        <w:t xml:space="preserve">附件5：                           </w:t>
      </w:r>
      <w:r>
        <w:rPr>
          <w:rFonts w:hint="eastAsia"/>
          <w:b/>
          <w:szCs w:val="21"/>
        </w:rPr>
        <w:t>反商业贿赂承诺书</w:t>
      </w:r>
      <w:r>
        <w:rPr>
          <w:b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三、本厂家、商家、公司保证竭力维护贵院的声誉，不做任何有损贵院形象的事情。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六、采购物资名称：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  <w:r>
        <w:rPr>
          <w:rFonts w:hint="eastAsia"/>
          <w:szCs w:val="21"/>
        </w:rPr>
        <w:t>承诺企业名称（公章）                      法人代表或委托代理人（承诺人）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77991"/>
    <w:rsid w:val="267928C5"/>
    <w:rsid w:val="42977991"/>
    <w:rsid w:val="42A1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2020-03-17T09:21:00Z</dcterms:created>
  <dc:creator>咩</dc:creator>
  <cp:lastModifiedBy>咩</cp:lastModifiedBy>
  <dcterms:modified xsi:type="dcterms:W3CDTF">2020-03-18T00:37:56Z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