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28"/>
          <w:szCs w:val="28"/>
        </w:rPr>
      </w:pPr>
      <w:bookmarkStart w:id="6" w:name="_GoBack"/>
      <w:bookmarkEnd w:id="6"/>
    </w:p>
    <w:p>
      <w:pPr>
        <w:spacing w:line="400" w:lineRule="exact"/>
        <w:rPr>
          <w:rFonts w:ascii="黑体" w:hAnsi="黑体" w:eastAsia="黑体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附件1：</w:t>
      </w:r>
      <w:bookmarkStart w:id="0" w:name="_Toc453961723"/>
      <w:bookmarkStart w:id="1" w:name="_Toc409182810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GCP用药品柜</w:t>
      </w:r>
      <w:r>
        <w:rPr>
          <w:rFonts w:hint="eastAsia" w:ascii="仿宋_GB2312" w:hAnsi="宋体" w:eastAsia="仿宋_GB2312"/>
          <w:b/>
          <w:sz w:val="28"/>
          <w:szCs w:val="28"/>
        </w:rPr>
        <w:t>院内采购需求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21"/>
          <w:szCs w:val="21"/>
          <w:lang w:val="en-US"/>
        </w:rPr>
      </w:pPr>
      <w:bookmarkStart w:id="2" w:name="_Toc4916_WPSOffice_Level1"/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一．</w:t>
      </w:r>
      <w:bookmarkEnd w:id="2"/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碳钢药品柜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一.  主要功能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1.  存放GCP用常温药物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二.  技术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1.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大小：950*250/420*1800mm；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2. 材质：碳钢医用柜类；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3. 上下柜均为碳钢双开门；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4.中间操作台为不锈钢材质；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5. 所有柜子，抽屉均需带锁；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6 药品柜需离地200mm；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7 药品柜由四个柜脚支撑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sz w:val="18"/>
          <w:szCs w:val="18"/>
        </w:rPr>
        <w:t xml:space="preserve">四.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技术支持及服务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 由供应商或生产商负责免费到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院</w:t>
      </w:r>
      <w:r>
        <w:rPr>
          <w:rFonts w:hint="eastAsia" w:ascii="微软雅黑" w:hAnsi="微软雅黑" w:eastAsia="微软雅黑" w:cs="微软雅黑"/>
          <w:sz w:val="18"/>
          <w:szCs w:val="18"/>
        </w:rPr>
        <w:t>安装调试,定期维护终身维修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</w:rPr>
        <w:t>.  售后服务应在3个工作日内达到现场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</w:rPr>
        <w:t>.  产品保修期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</w:rPr>
        <w:t>年，在质保期内属产品质量问题所发生的一切费用由供方负担</w:t>
      </w: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附件2：评分标准</w:t>
      </w:r>
      <w:bookmarkEnd w:id="0"/>
      <w:bookmarkEnd w:id="1"/>
    </w:p>
    <w:p>
      <w:pPr>
        <w:jc w:val="center"/>
        <w:rPr>
          <w:b/>
          <w:sz w:val="24"/>
        </w:rPr>
      </w:pPr>
    </w:p>
    <w:tbl>
      <w:tblPr>
        <w:tblStyle w:val="1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96"/>
        <w:gridCol w:w="706"/>
        <w:gridCol w:w="547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投标报价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default" w:ascii="宋体" w:hAnsi="宋体" w:eastAsia="仿宋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满足招标文件要求且投标价格最低的投标报价为评标基准价，其价格分为满分。其他投标单位的价格分统一按照下列公式计算：投标报价得分=(评标基准价／投标报价)×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技术指标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投标产品的技术参数完全符合招标文件要求没有负偏离得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分；非“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”条款技术参数不满足招标文件要求（负偏离），一项扣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分，“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”条款技术参数与招标文件要求有负偏离的，一项扣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分；扣完为止。</w:t>
            </w:r>
          </w:p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注：1.针对投标产品的“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”号条款技术参数，投标人应提供技术支持资料，技术支持资料指包括产品的彩页、操作手册、产品说明书、检测报告、医疗器械注册产品标准等资料证明；</w:t>
            </w:r>
          </w:p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2.如果投标产品中的某条“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”号条款技术参数没有按照以上要求提供技术支持资料的，该条技术参数在评审中将不予认定！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业绩5%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对投标人201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年以来至投标截止日期销售业绩进行评比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投标人需提供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分子生物实验室或细胞实验室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西南地区高校或者医院用户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名单，每提供1家得1分，最多5分。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宋体" w:hAnsi="宋体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提供中标通知书或送货发票或合同复印件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并加盖公司鲜章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售后服务及培训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投标人提供售后服务方案，包括不限于售后服务响应时间、现场服务支持能力、售后巡检、质量保证范围、培训得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分，少一项扣 0.5分，扣完为止。售后服务方案不能保证项目实施的，得0分。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投标文件的规范性1%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附件3：</w:t>
      </w: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0" w:lineRule="atLeas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采购文件书装订顺序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2、目录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3、品目及报价表（格式见附件4）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4、偏离表（格式见附件4）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6、法定代表人授权书（原件，格式见附件4）暨经办人授权书，法人、经办人身份证（复印件）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ascii="仿宋_GB2312" w:hAnsi="宋体" w:eastAsia="仿宋_GB2312"/>
          <w:bCs/>
          <w:spacing w:val="8"/>
          <w:sz w:val="28"/>
          <w:szCs w:val="28"/>
        </w:rPr>
        <w:t>7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8、用户情况表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9、项目组成员配备情况表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10、封底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附件4：主要表格格式</w:t>
      </w: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4"/>
        </w:rPr>
        <w:t>附件4-1：</w:t>
      </w:r>
      <w:r>
        <w:rPr>
          <w:rFonts w:hint="eastAsia" w:ascii="黑体" w:hAnsi="黑体" w:eastAsia="黑体"/>
          <w:bCs/>
          <w:sz w:val="32"/>
          <w:szCs w:val="32"/>
        </w:rPr>
        <w:t>报价表</w:t>
      </w: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15"/>
        <w:tblW w:w="85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931"/>
        <w:gridCol w:w="1018"/>
        <w:gridCol w:w="1041"/>
        <w:gridCol w:w="1365"/>
        <w:gridCol w:w="1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仪器设备名称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碳钢药品柜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19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注：“品目及报价表”需单独密封。</w:t>
      </w:r>
    </w:p>
    <w:p>
      <w:pPr>
        <w:adjustRightInd w:val="0"/>
        <w:spacing w:line="400" w:lineRule="exact"/>
        <w:ind w:firstLine="525" w:firstLineChars="2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法定代表人或授权代表（签字）：                   联系方式：        </w:t>
      </w:r>
    </w:p>
    <w:p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日期：</w:t>
      </w: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附件4-2：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/>
          <w:b/>
          <w:sz w:val="24"/>
        </w:rPr>
        <w:t>偏离表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95"/>
        <w:gridCol w:w="279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偏离及其影响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adjustRightInd w:val="0"/>
        <w:spacing w:line="360" w:lineRule="auto"/>
        <w:ind w:firstLine="420" w:firstLineChars="175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360" w:firstLineChars="150"/>
        <w:jc w:val="lef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日期:</w:t>
      </w:r>
    </w:p>
    <w:p>
      <w:pPr>
        <w:spacing w:line="360" w:lineRule="auto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附件4-3：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用户情况表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1"/>
        <w:gridCol w:w="1260"/>
        <w:gridCol w:w="215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3" w:name="_Toc237343703"/>
      <w:bookmarkStart w:id="4" w:name="_Toc174767233"/>
      <w:bookmarkStart w:id="5" w:name="_Toc95295163"/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eastAsia="仿宋_GB2312"/>
          <w:bCs/>
          <w:sz w:val="24"/>
        </w:rPr>
        <w:t>4-4：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  <w:bookmarkEnd w:id="3"/>
      <w:bookmarkEnd w:id="4"/>
      <w:bookmarkEnd w:id="5"/>
    </w:p>
    <w:p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240" w:lineRule="auto"/>
        <w:rPr>
          <w:b/>
          <w:szCs w:val="21"/>
        </w:rPr>
      </w:pPr>
      <w:r>
        <w:rPr>
          <w:rFonts w:hint="eastAsia" w:ascii="宋体" w:hAnsi="宋体"/>
          <w:b/>
          <w:sz w:val="24"/>
        </w:rPr>
        <w:t xml:space="preserve">附件5：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>
      <w:pPr>
        <w:tabs>
          <w:tab w:val="left" w:pos="6645"/>
        </w:tabs>
        <w:spacing w:line="240" w:lineRule="auto"/>
        <w:rPr>
          <w:b/>
          <w:szCs w:val="21"/>
        </w:rPr>
      </w:pP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24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1、不与其他投标人相互串通投标报价，损害贵院的合法权益；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2、不与招标人串通投标，损害国家利益、社会公共利益或他人的合法权益；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3、不以向招标人或者评标委员会成员行贿的手段谋取中标；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4、竞标报价不违反相关法律的规定，也不以他人名义投标或者以其他方式弄虚作假，骗取中标；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5、保证不以其他任何方式扰乱贵院的招标工作；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9、保证不以其他任何不正当竞争手段推销药品、医疗器械、设备、物资。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2、对本厂家、商家、公司相关工作人员作出严肃处理；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六、采购物资名称：</w:t>
      </w:r>
    </w:p>
    <w:p>
      <w:pPr>
        <w:spacing w:line="240" w:lineRule="auto"/>
        <w:rPr>
          <w:szCs w:val="21"/>
        </w:rPr>
      </w:pPr>
    </w:p>
    <w:p>
      <w:pPr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>
      <w:pPr>
        <w:spacing w:line="240" w:lineRule="auto"/>
      </w:pPr>
      <w:r>
        <w:rPr>
          <w:rFonts w:hint="eastAsia"/>
          <w:szCs w:val="21"/>
        </w:rPr>
        <w:t>承诺企业名称（公章）                      法人代表或委托代理人（承诺人）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46A5"/>
    <w:rsid w:val="00C6647D"/>
    <w:rsid w:val="00C66757"/>
    <w:rsid w:val="00C67905"/>
    <w:rsid w:val="00C70634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5046"/>
    <w:rsid w:val="00DF7343"/>
    <w:rsid w:val="00DF7A2C"/>
    <w:rsid w:val="00E003B3"/>
    <w:rsid w:val="00E015D3"/>
    <w:rsid w:val="00E058F7"/>
    <w:rsid w:val="00E064F7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307C"/>
    <w:rsid w:val="00F3573F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099172CA"/>
    <w:rsid w:val="0F250F6A"/>
    <w:rsid w:val="1106666F"/>
    <w:rsid w:val="11287D92"/>
    <w:rsid w:val="13555A29"/>
    <w:rsid w:val="13622D7C"/>
    <w:rsid w:val="15C76321"/>
    <w:rsid w:val="186A1C05"/>
    <w:rsid w:val="18875253"/>
    <w:rsid w:val="19094F0C"/>
    <w:rsid w:val="192110AF"/>
    <w:rsid w:val="1A542E04"/>
    <w:rsid w:val="1F1F4B9A"/>
    <w:rsid w:val="20540646"/>
    <w:rsid w:val="209133C1"/>
    <w:rsid w:val="210D4EF5"/>
    <w:rsid w:val="26D32BE6"/>
    <w:rsid w:val="2F5B4671"/>
    <w:rsid w:val="3002785A"/>
    <w:rsid w:val="319B5F83"/>
    <w:rsid w:val="33F56147"/>
    <w:rsid w:val="360031FF"/>
    <w:rsid w:val="39A734D2"/>
    <w:rsid w:val="3C9F7D16"/>
    <w:rsid w:val="3DA61A58"/>
    <w:rsid w:val="49CC6A8E"/>
    <w:rsid w:val="4E784D43"/>
    <w:rsid w:val="552E63EF"/>
    <w:rsid w:val="561E42B1"/>
    <w:rsid w:val="563A6AB4"/>
    <w:rsid w:val="56703FDA"/>
    <w:rsid w:val="569110FF"/>
    <w:rsid w:val="5DF50B52"/>
    <w:rsid w:val="63011D82"/>
    <w:rsid w:val="663A30C2"/>
    <w:rsid w:val="68687621"/>
    <w:rsid w:val="6AE94A54"/>
    <w:rsid w:val="6E8F0EC5"/>
    <w:rsid w:val="78BC1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ind w:firstLine="630" w:firstLineChars="210"/>
    </w:pPr>
    <w:rPr>
      <w:rFonts w:eastAsia="仿宋_GB2312"/>
      <w:sz w:val="30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4"/>
    <w:next w:val="4"/>
    <w:semiHidden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character" w:customStyle="1" w:styleId="21">
    <w:name w:val="apple-style-span"/>
    <w:qFormat/>
    <w:uiPriority w:val="0"/>
    <w:rPr>
      <w:rFonts w:cs="Times New Roman"/>
    </w:rPr>
  </w:style>
  <w:style w:type="character" w:customStyle="1" w:styleId="22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3">
    <w:name w:val="标题 2 Char"/>
    <w:link w:val="2"/>
    <w:qFormat/>
    <w:uiPriority w:val="0"/>
    <w:rPr>
      <w:rFonts w:ascii="Arial" w:hAnsi="Arial" w:eastAsia="黑体"/>
      <w:b/>
      <w:kern w:val="2"/>
      <w:sz w:val="28"/>
      <w:lang w:val="en-US" w:eastAsia="zh-CN" w:bidi="ar-SA"/>
    </w:rPr>
  </w:style>
  <w:style w:type="character" w:customStyle="1" w:styleId="24">
    <w:name w:val="页眉 Char"/>
    <w:link w:val="12"/>
    <w:qFormat/>
    <w:uiPriority w:val="0"/>
    <w:rPr>
      <w:kern w:val="2"/>
      <w:sz w:val="18"/>
      <w:szCs w:val="18"/>
    </w:rPr>
  </w:style>
  <w:style w:type="paragraph" w:customStyle="1" w:styleId="25">
    <w:name w:val="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2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8">
    <w:name w:val="Char11"/>
    <w:basedOn w:val="1"/>
    <w:qFormat/>
    <w:uiPriority w:val="0"/>
    <w:rPr>
      <w:rFonts w:ascii="Tahoma" w:hAnsi="Tahoma"/>
      <w:sz w:val="30"/>
      <w:szCs w:val="30"/>
    </w:rPr>
  </w:style>
  <w:style w:type="paragraph" w:customStyle="1" w:styleId="29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customStyle="1" w:styleId="3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32">
    <w:name w:val="列出段落2"/>
    <w:basedOn w:val="1"/>
    <w:unhideWhenUsed/>
    <w:qFormat/>
    <w:uiPriority w:val="99"/>
    <w:pPr>
      <w:ind w:firstLine="420" w:firstLineChars="200"/>
    </w:p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8D888-82C1-4520-91F1-CC3B5D456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863</Words>
  <Characters>4924</Characters>
  <Lines>41</Lines>
  <Paragraphs>11</Paragraphs>
  <TotalTime>4</TotalTime>
  <ScaleCrop>false</ScaleCrop>
  <LinksUpToDate>false</LinksUpToDate>
  <CharactersWithSpaces>5776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2017-08-04T08:38:00Z</dcterms:created>
  <dc:creator>雨林木风</dc:creator>
  <cp:lastModifiedBy>咩</cp:lastModifiedBy>
  <cp:lastPrinted>2017-08-09T08:45:00Z</cp:lastPrinted>
  <dcterms:modified xsi:type="dcterms:W3CDTF">2020-03-23T00:53:46Z</dcterms:modified>
  <dc:title>数字止血纱布等医疗耗材询价采购会议公告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