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8E1E35" w:rsidRDefault="00DA7B43" w:rsidP="00D73E00">
      <w:pPr>
        <w:widowControl/>
        <w:shd w:val="clear" w:color="auto" w:fill="FFFFFF"/>
        <w:wordWrap w:val="0"/>
        <w:jc w:val="left"/>
        <w:rPr>
          <w:rFonts w:ascii="黑体" w:eastAsia="黑体" w:hAnsi="黑体" w:cs="Segoe UI"/>
          <w:b/>
          <w:color w:val="333333"/>
          <w:kern w:val="0"/>
          <w:sz w:val="28"/>
          <w:szCs w:val="28"/>
        </w:rPr>
      </w:pPr>
      <w:r w:rsidRPr="008E1E35">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2304B6" w:rsidRDefault="00550E49" w:rsidP="00550E49">
            <w:pPr>
              <w:widowControl/>
              <w:jc w:val="center"/>
              <w:rPr>
                <w:rFonts w:ascii="微软雅黑" w:eastAsia="微软雅黑" w:hAnsi="微软雅黑" w:cs="Segoe UI"/>
                <w:b/>
                <w:bCs/>
                <w:color w:val="333333"/>
                <w:kern w:val="0"/>
                <w:szCs w:val="21"/>
              </w:rPr>
            </w:pPr>
            <w:proofErr w:type="gramStart"/>
            <w:r w:rsidRPr="002304B6">
              <w:rPr>
                <w:rFonts w:ascii="微软雅黑" w:eastAsia="微软雅黑" w:hAnsi="微软雅黑" w:cs="Segoe UI" w:hint="eastAsia"/>
                <w:b/>
                <w:bCs/>
                <w:color w:val="333333"/>
                <w:kern w:val="0"/>
                <w:szCs w:val="21"/>
              </w:rPr>
              <w:t>包号</w:t>
            </w:r>
            <w:proofErr w:type="gramEnd"/>
          </w:p>
        </w:tc>
        <w:tc>
          <w:tcPr>
            <w:tcW w:w="1843" w:type="dxa"/>
          </w:tcPr>
          <w:p w:rsidR="00550E49" w:rsidRPr="002304B6" w:rsidRDefault="00550E49" w:rsidP="00550E49">
            <w:pPr>
              <w:widowControl/>
              <w:wordWrap w:val="0"/>
              <w:jc w:val="center"/>
              <w:rPr>
                <w:rFonts w:ascii="微软雅黑" w:eastAsia="微软雅黑" w:hAnsi="微软雅黑" w:cs="Segoe UI"/>
                <w:b/>
                <w:bCs/>
                <w:color w:val="333333"/>
                <w:kern w:val="0"/>
                <w:szCs w:val="21"/>
              </w:rPr>
            </w:pPr>
            <w:r w:rsidRPr="002304B6">
              <w:rPr>
                <w:rFonts w:ascii="微软雅黑" w:eastAsia="微软雅黑" w:hAnsi="微软雅黑" w:cs="Segoe UI" w:hint="eastAsia"/>
                <w:b/>
                <w:bCs/>
                <w:color w:val="333333"/>
                <w:kern w:val="0"/>
                <w:szCs w:val="21"/>
              </w:rPr>
              <w:t>产品名称</w:t>
            </w:r>
          </w:p>
        </w:tc>
        <w:tc>
          <w:tcPr>
            <w:tcW w:w="6520" w:type="dxa"/>
          </w:tcPr>
          <w:p w:rsidR="00550E49" w:rsidRPr="002304B6" w:rsidRDefault="00550E49" w:rsidP="00550E49">
            <w:pPr>
              <w:widowControl/>
              <w:wordWrap w:val="0"/>
              <w:jc w:val="center"/>
              <w:rPr>
                <w:rFonts w:ascii="微软雅黑" w:eastAsia="微软雅黑" w:hAnsi="微软雅黑" w:cs="Segoe UI"/>
                <w:b/>
                <w:bCs/>
                <w:color w:val="333333"/>
                <w:kern w:val="0"/>
                <w:szCs w:val="21"/>
              </w:rPr>
            </w:pPr>
            <w:r w:rsidRPr="002304B6">
              <w:rPr>
                <w:rFonts w:ascii="微软雅黑" w:eastAsia="微软雅黑" w:hAnsi="微软雅黑" w:cs="Segoe UI" w:hint="eastAsia"/>
                <w:b/>
                <w:bCs/>
                <w:color w:val="333333"/>
                <w:kern w:val="0"/>
                <w:szCs w:val="21"/>
              </w:rPr>
              <w:t>技术要求</w:t>
            </w:r>
          </w:p>
        </w:tc>
      </w:tr>
      <w:tr w:rsidR="00302391" w:rsidRPr="008E1E35" w:rsidTr="008E1E35">
        <w:tc>
          <w:tcPr>
            <w:tcW w:w="1702" w:type="dxa"/>
            <w:vMerge w:val="restart"/>
            <w:vAlign w:val="center"/>
          </w:tcPr>
          <w:p w:rsidR="00302391" w:rsidRPr="008E1E35" w:rsidRDefault="00302391" w:rsidP="00302391">
            <w:pPr>
              <w:widowControl/>
              <w:wordWrap w:val="0"/>
              <w:jc w:val="center"/>
              <w:rPr>
                <w:rFonts w:ascii="微软雅黑" w:eastAsia="微软雅黑" w:hAnsi="微软雅黑" w:cs="Segoe UI"/>
                <w:bCs/>
                <w:color w:val="333333"/>
                <w:kern w:val="0"/>
                <w:szCs w:val="21"/>
              </w:rPr>
            </w:pPr>
            <w:r w:rsidRPr="008E1E35">
              <w:rPr>
                <w:rFonts w:ascii="微软雅黑" w:eastAsia="微软雅黑" w:hAnsi="微软雅黑" w:cs="Segoe UI" w:hint="eastAsia"/>
                <w:bCs/>
                <w:color w:val="333333"/>
                <w:kern w:val="0"/>
                <w:szCs w:val="21"/>
              </w:rPr>
              <w:t>1</w:t>
            </w:r>
          </w:p>
        </w:tc>
        <w:tc>
          <w:tcPr>
            <w:tcW w:w="1843" w:type="dxa"/>
            <w:vAlign w:val="center"/>
          </w:tcPr>
          <w:p w:rsidR="00302391" w:rsidRPr="008E1E35" w:rsidRDefault="00302391" w:rsidP="00550E49">
            <w:pPr>
              <w:widowControl/>
              <w:wordWrap w:val="0"/>
              <w:jc w:val="center"/>
              <w:rPr>
                <w:rFonts w:ascii="微软雅黑" w:eastAsia="微软雅黑" w:hAnsi="微软雅黑" w:cs="Segoe UI"/>
                <w:bCs/>
                <w:color w:val="333333"/>
                <w:kern w:val="0"/>
                <w:szCs w:val="21"/>
              </w:rPr>
            </w:pPr>
            <w:r>
              <w:rPr>
                <w:rFonts w:ascii="微软雅黑" w:eastAsia="微软雅黑" w:hAnsi="微软雅黑" w:cs="Segoe UI" w:hint="eastAsia"/>
                <w:bCs/>
                <w:color w:val="333333"/>
                <w:kern w:val="0"/>
                <w:szCs w:val="21"/>
              </w:rPr>
              <w:t>一次性使用静脉输液营养袋</w:t>
            </w:r>
          </w:p>
        </w:tc>
        <w:tc>
          <w:tcPr>
            <w:tcW w:w="6520" w:type="dxa"/>
          </w:tcPr>
          <w:p w:rsidR="00302391" w:rsidRPr="00302391" w:rsidRDefault="00302391" w:rsidP="00302391">
            <w:pPr>
              <w:widowControl/>
              <w:shd w:val="clear" w:color="auto" w:fill="FFFFFF"/>
              <w:wordWrap w:val="0"/>
              <w:rPr>
                <w:rFonts w:ascii="微软雅黑" w:eastAsia="微软雅黑" w:hAnsi="微软雅黑" w:cs="Segoe UI"/>
                <w:kern w:val="0"/>
                <w:szCs w:val="21"/>
              </w:rPr>
            </w:pPr>
            <w:r w:rsidRPr="00302391">
              <w:rPr>
                <w:rFonts w:ascii="微软雅黑" w:eastAsia="微软雅黑" w:hAnsi="微软雅黑" w:cs="Segoe UI" w:hint="eastAsia"/>
                <w:kern w:val="0"/>
                <w:szCs w:val="21"/>
              </w:rPr>
              <w:t>1、数量：1批。</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*2、规格型号：500ml、3000ml。</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3、产品为一次性使用，环氧乙烷灭菌。</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4、由可拆开式三路进液管路连接件、储液袋及输液管路等部件组成。</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5、进液管路粗，</w:t>
            </w:r>
            <w:proofErr w:type="gramStart"/>
            <w:r w:rsidRPr="00302391">
              <w:rPr>
                <w:rFonts w:ascii="微软雅黑" w:eastAsia="微软雅黑" w:hAnsi="微软雅黑" w:cs="Segoe UI" w:hint="eastAsia"/>
                <w:kern w:val="0"/>
                <w:szCs w:val="21"/>
              </w:rPr>
              <w:t>袋体开口</w:t>
            </w:r>
            <w:proofErr w:type="gramEnd"/>
            <w:r w:rsidRPr="00302391">
              <w:rPr>
                <w:rFonts w:ascii="微软雅黑" w:eastAsia="微软雅黑" w:hAnsi="微软雅黑" w:cs="Segoe UI" w:hint="eastAsia"/>
                <w:kern w:val="0"/>
                <w:szCs w:val="21"/>
              </w:rPr>
              <w:t>性好，灌装速度快。</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6、</w:t>
            </w:r>
            <w:proofErr w:type="gramStart"/>
            <w:r w:rsidRPr="00302391">
              <w:rPr>
                <w:rFonts w:ascii="微软雅黑" w:eastAsia="微软雅黑" w:hAnsi="微软雅黑" w:cs="Segoe UI" w:hint="eastAsia"/>
                <w:kern w:val="0"/>
                <w:szCs w:val="21"/>
              </w:rPr>
              <w:t>袋体透明度</w:t>
            </w:r>
            <w:proofErr w:type="gramEnd"/>
            <w:r w:rsidRPr="00302391">
              <w:rPr>
                <w:rFonts w:ascii="微软雅黑" w:eastAsia="微软雅黑" w:hAnsi="微软雅黑" w:cs="Segoe UI" w:hint="eastAsia"/>
                <w:kern w:val="0"/>
                <w:szCs w:val="21"/>
              </w:rPr>
              <w:t>高，管路弹性好，不易折管。</w:t>
            </w:r>
          </w:p>
          <w:p w:rsidR="00302391" w:rsidRPr="00302391" w:rsidRDefault="00302391" w:rsidP="00302391">
            <w:pPr>
              <w:rPr>
                <w:rFonts w:asciiTheme="minorEastAsia" w:hAnsiTheme="minorEastAsia" w:cs="Segoe UI"/>
                <w:kern w:val="0"/>
                <w:sz w:val="24"/>
                <w:szCs w:val="24"/>
              </w:rPr>
            </w:pPr>
            <w:r w:rsidRPr="00302391">
              <w:rPr>
                <w:rFonts w:ascii="微软雅黑" w:eastAsia="微软雅黑" w:hAnsi="微软雅黑" w:cs="Segoe UI" w:hint="eastAsia"/>
                <w:kern w:val="0"/>
                <w:szCs w:val="21"/>
              </w:rPr>
              <w:t>7、输液器末端螺旋锁定结构，可实现与其它不同品牌的静脉输液针、过滤连接管的锁定连接。</w:t>
            </w:r>
          </w:p>
        </w:tc>
      </w:tr>
      <w:tr w:rsidR="00302391" w:rsidRPr="008E1E35" w:rsidTr="008E1E35">
        <w:tc>
          <w:tcPr>
            <w:tcW w:w="1702" w:type="dxa"/>
            <w:vMerge/>
            <w:vAlign w:val="center"/>
          </w:tcPr>
          <w:p w:rsidR="00302391" w:rsidRPr="008E1E35" w:rsidRDefault="00302391" w:rsidP="00550E49">
            <w:pPr>
              <w:widowControl/>
              <w:wordWrap w:val="0"/>
              <w:jc w:val="center"/>
              <w:rPr>
                <w:rFonts w:ascii="微软雅黑" w:eastAsia="微软雅黑" w:hAnsi="微软雅黑" w:cs="Segoe UI"/>
                <w:bCs/>
                <w:color w:val="333333"/>
                <w:kern w:val="0"/>
                <w:szCs w:val="21"/>
              </w:rPr>
            </w:pPr>
          </w:p>
        </w:tc>
        <w:tc>
          <w:tcPr>
            <w:tcW w:w="1843" w:type="dxa"/>
            <w:vAlign w:val="center"/>
          </w:tcPr>
          <w:p w:rsidR="00302391" w:rsidRPr="00302391" w:rsidRDefault="00302391" w:rsidP="00550E49">
            <w:pPr>
              <w:widowControl/>
              <w:wordWrap w:val="0"/>
              <w:jc w:val="center"/>
              <w:rPr>
                <w:rFonts w:ascii="微软雅黑" w:eastAsia="微软雅黑" w:hAnsi="微软雅黑" w:cs="Segoe UI"/>
                <w:bCs/>
                <w:color w:val="333333"/>
                <w:kern w:val="0"/>
                <w:szCs w:val="21"/>
              </w:rPr>
            </w:pPr>
            <w:r w:rsidRPr="00302391">
              <w:rPr>
                <w:rFonts w:ascii="微软雅黑" w:eastAsia="微软雅黑" w:hAnsi="微软雅黑" w:cs="Segoe UI" w:hint="eastAsia"/>
                <w:kern w:val="0"/>
                <w:szCs w:val="21"/>
              </w:rPr>
              <w:t>一次性使用输液过滤连接管</w:t>
            </w:r>
          </w:p>
        </w:tc>
        <w:tc>
          <w:tcPr>
            <w:tcW w:w="6520" w:type="dxa"/>
          </w:tcPr>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1、数量：</w:t>
            </w:r>
            <w:r>
              <w:rPr>
                <w:rFonts w:ascii="微软雅黑" w:eastAsia="微软雅黑" w:hAnsi="微软雅黑" w:cs="Segoe UI" w:hint="eastAsia"/>
                <w:kern w:val="0"/>
                <w:szCs w:val="21"/>
              </w:rPr>
              <w:t>1</w:t>
            </w:r>
            <w:r w:rsidRPr="00302391">
              <w:rPr>
                <w:rFonts w:ascii="微软雅黑" w:eastAsia="微软雅黑" w:hAnsi="微软雅黑" w:cs="Segoe UI" w:hint="eastAsia"/>
                <w:kern w:val="0"/>
                <w:szCs w:val="21"/>
              </w:rPr>
              <w:t>批。</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2、一次性使用无菌产品，环氧乙烷灭菌。</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3、与输注器具或其它配件的连接，构成一个完成的封闭系统，用于对人体静脉输注药液。</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4、使用便捷，可以结合临床需要来满足其管路的连接与延长。</w:t>
            </w:r>
          </w:p>
          <w:p w:rsidR="00302391" w:rsidRPr="00302391" w:rsidRDefault="00302391" w:rsidP="00302391">
            <w:pPr>
              <w:rPr>
                <w:rFonts w:ascii="微软雅黑" w:eastAsia="微软雅黑" w:hAnsi="微软雅黑" w:cs="Segoe UI"/>
                <w:kern w:val="0"/>
                <w:szCs w:val="21"/>
              </w:rPr>
            </w:pPr>
            <w:r w:rsidRPr="00302391">
              <w:rPr>
                <w:rFonts w:ascii="微软雅黑" w:eastAsia="微软雅黑" w:hAnsi="微软雅黑" w:cs="Segoe UI" w:hint="eastAsia"/>
                <w:kern w:val="0"/>
                <w:szCs w:val="21"/>
              </w:rPr>
              <w:t>5、具有自排气功能，输液更安全。</w:t>
            </w:r>
          </w:p>
          <w:p w:rsidR="00302391" w:rsidRPr="008E1E35" w:rsidRDefault="00302391" w:rsidP="00302391">
            <w:pPr>
              <w:widowControl/>
              <w:wordWrap w:val="0"/>
              <w:jc w:val="left"/>
              <w:rPr>
                <w:rFonts w:ascii="微软雅黑" w:eastAsia="微软雅黑" w:hAnsi="微软雅黑" w:cs="Segoe UI"/>
                <w:b/>
                <w:bCs/>
                <w:color w:val="333333"/>
                <w:kern w:val="0"/>
                <w:szCs w:val="21"/>
              </w:rPr>
            </w:pPr>
            <w:r w:rsidRPr="00302391">
              <w:rPr>
                <w:rFonts w:ascii="微软雅黑" w:eastAsia="微软雅黑" w:hAnsi="微软雅黑" w:cs="Segoe UI" w:hint="eastAsia"/>
                <w:kern w:val="0"/>
                <w:szCs w:val="21"/>
              </w:rPr>
              <w:t>6、配有精密药液过滤器，过滤膜孔径有0.22μm、1.2μm、2μm、3μm、5μm。</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8E1E35" w:rsidRDefault="008E1E35" w:rsidP="00DA7B43">
      <w:pPr>
        <w:widowControl/>
        <w:shd w:val="clear" w:color="auto" w:fill="FFFFFF"/>
        <w:wordWrap w:val="0"/>
        <w:jc w:val="left"/>
        <w:rPr>
          <w:rFonts w:ascii="黑体" w:eastAsia="黑体" w:hAnsi="黑体" w:cs="Segoe UI"/>
          <w:bCs/>
          <w:color w:val="333333"/>
          <w:kern w:val="0"/>
          <w:sz w:val="28"/>
          <w:szCs w:val="28"/>
        </w:rPr>
      </w:pPr>
    </w:p>
    <w:p w:rsidR="008E1E35" w:rsidRDefault="008E1E35" w:rsidP="00DA7B43">
      <w:pPr>
        <w:widowControl/>
        <w:shd w:val="clear" w:color="auto" w:fill="FFFFFF"/>
        <w:wordWrap w:val="0"/>
        <w:jc w:val="left"/>
        <w:rPr>
          <w:rFonts w:ascii="黑体" w:eastAsia="黑体" w:hAnsi="黑体" w:cs="Segoe UI"/>
          <w:bCs/>
          <w:color w:val="333333"/>
          <w:kern w:val="0"/>
          <w:sz w:val="28"/>
          <w:szCs w:val="28"/>
        </w:rPr>
      </w:pPr>
    </w:p>
    <w:p w:rsidR="00302391" w:rsidRDefault="00302391" w:rsidP="008E1E35">
      <w:pPr>
        <w:widowControl/>
        <w:shd w:val="clear" w:color="auto" w:fill="FFFFFF"/>
        <w:wordWrap w:val="0"/>
        <w:jc w:val="left"/>
        <w:rPr>
          <w:rFonts w:ascii="黑体" w:eastAsia="黑体" w:hAnsi="黑体" w:cs="Segoe UI" w:hint="eastAsia"/>
          <w:bCs/>
          <w:color w:val="333333"/>
          <w:kern w:val="0"/>
          <w:sz w:val="28"/>
          <w:szCs w:val="28"/>
        </w:rPr>
      </w:pPr>
    </w:p>
    <w:p w:rsidR="00DA7B43" w:rsidRPr="008E1E35" w:rsidRDefault="00DA7B43" w:rsidP="008E1E35">
      <w:pPr>
        <w:widowControl/>
        <w:shd w:val="clear" w:color="auto" w:fill="FFFFFF"/>
        <w:wordWrap w:val="0"/>
        <w:jc w:val="left"/>
        <w:rPr>
          <w:rFonts w:ascii="黑体" w:eastAsia="黑体" w:hAnsi="黑体" w:cs="Segoe UI"/>
          <w:b/>
          <w:bCs/>
          <w:color w:val="333333"/>
          <w:kern w:val="0"/>
          <w:sz w:val="28"/>
          <w:szCs w:val="28"/>
        </w:rPr>
      </w:pPr>
      <w:r w:rsidRPr="008E1E35">
        <w:rPr>
          <w:rFonts w:ascii="黑体" w:eastAsia="黑体" w:hAnsi="黑体" w:cs="Segoe UI" w:hint="eastAsia"/>
          <w:b/>
          <w:bCs/>
          <w:color w:val="333333"/>
          <w:kern w:val="0"/>
          <w:sz w:val="28"/>
          <w:szCs w:val="28"/>
        </w:rPr>
        <w:lastRenderedPageBreak/>
        <w:t>附件</w:t>
      </w:r>
      <w:r w:rsidRPr="008E1E35">
        <w:rPr>
          <w:rFonts w:ascii="黑体" w:eastAsia="黑体" w:hAnsi="黑体" w:cs="Segoe UI"/>
          <w:b/>
          <w:bCs/>
          <w:color w:val="333333"/>
          <w:kern w:val="0"/>
          <w:sz w:val="28"/>
          <w:szCs w:val="28"/>
        </w:rPr>
        <w:t>2</w:t>
      </w:r>
      <w:r w:rsidR="008E1E35" w:rsidRPr="008E1E35">
        <w:rPr>
          <w:rFonts w:ascii="黑体" w:eastAsia="黑体" w:hAnsi="黑体" w:cs="Segoe UI" w:hint="eastAsia"/>
          <w:b/>
          <w:bCs/>
          <w:color w:val="333333"/>
          <w:kern w:val="0"/>
          <w:sz w:val="28"/>
          <w:szCs w:val="28"/>
        </w:rPr>
        <w:t>：评审办法</w:t>
      </w:r>
      <w:r w:rsidR="008E1E35">
        <w:rPr>
          <w:rFonts w:ascii="黑体" w:eastAsia="黑体" w:hAnsi="黑体" w:cs="Segoe UI" w:hint="eastAsia"/>
          <w:b/>
          <w:bCs/>
          <w:color w:val="333333"/>
          <w:kern w:val="0"/>
          <w:sz w:val="28"/>
          <w:szCs w:val="28"/>
        </w:rPr>
        <w:t>（</w:t>
      </w:r>
      <w:r w:rsidR="008E1E35" w:rsidRPr="008E1E35">
        <w:rPr>
          <w:rFonts w:ascii="黑体" w:eastAsia="黑体" w:hAnsi="黑体" w:cs="Segoe UI" w:hint="eastAsia"/>
          <w:b/>
          <w:bCs/>
          <w:color w:val="333333"/>
          <w:kern w:val="0"/>
          <w:sz w:val="28"/>
          <w:szCs w:val="28"/>
        </w:rPr>
        <w:t>综合评分明细表</w:t>
      </w:r>
      <w:r w:rsidR="008E1E35">
        <w:rPr>
          <w:rFonts w:ascii="黑体" w:eastAsia="黑体" w:hAnsi="黑体" w:cs="Segoe UI" w:hint="eastAsia"/>
          <w:b/>
          <w:bCs/>
          <w:color w:val="333333"/>
          <w:kern w:val="0"/>
          <w:sz w:val="28"/>
          <w:szCs w:val="28"/>
        </w:rPr>
        <w:t>）</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w:t>
            </w:r>
            <w:r w:rsidRPr="008E1E35">
              <w:rPr>
                <w:rFonts w:ascii="微软雅黑" w:eastAsia="微软雅黑" w:hAnsi="微软雅黑" w:cs="Segoe UI" w:hint="eastAsia"/>
                <w:color w:val="000000"/>
                <w:kern w:val="0"/>
                <w:szCs w:val="21"/>
              </w:rPr>
              <w:lastRenderedPageBreak/>
              <w:t>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提供中标通知书或送货发票或</w:t>
            </w:r>
            <w:r w:rsidRPr="008E1E35">
              <w:rPr>
                <w:rFonts w:ascii="微软雅黑" w:eastAsia="微软雅黑" w:hAnsi="微软雅黑" w:cs="Segoe UI" w:hint="eastAsia"/>
                <w:color w:val="000000"/>
                <w:kern w:val="0"/>
                <w:szCs w:val="21"/>
              </w:rPr>
              <w:lastRenderedPageBreak/>
              <w:t>合同复印件。</w:t>
            </w:r>
          </w:p>
        </w:tc>
      </w:tr>
      <w:tr w:rsidR="00DA7B43" w:rsidRPr="008E1E35" w:rsidTr="008E1E35">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left"/>
              <w:rPr>
                <w:rFonts w:ascii="微软雅黑" w:eastAsia="微软雅黑" w:hAnsi="微软雅黑" w:cs="Segoe UI"/>
                <w:color w:val="333333"/>
                <w:kern w:val="0"/>
                <w:szCs w:val="21"/>
              </w:rPr>
            </w:pPr>
            <w:r w:rsidRPr="008E1E35">
              <w:rPr>
                <w:rFonts w:ascii="微软雅黑" w:eastAsia="微软雅黑" w:hAnsi="微软雅黑" w:cs="Segoe UI"/>
                <w:color w:val="333333"/>
                <w:kern w:val="0"/>
                <w:szCs w:val="21"/>
              </w:rPr>
              <w:t> </w:t>
            </w:r>
          </w:p>
        </w:tc>
      </w:tr>
      <w:tr w:rsidR="00DA7B43" w:rsidRPr="008E1E35" w:rsidTr="008E1E35">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2.提供的可使用设备制造厂家在成都设有办事处、分公司或常驻维修机构（提供相关证明材料）得2分；未提供，不得分。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083" w:rsidRDefault="003B1083" w:rsidP="009707C6">
      <w:r>
        <w:separator/>
      </w:r>
    </w:p>
  </w:endnote>
  <w:endnote w:type="continuationSeparator" w:id="0">
    <w:p w:rsidR="003B1083" w:rsidRDefault="003B1083"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083" w:rsidRDefault="003B1083" w:rsidP="009707C6">
      <w:r>
        <w:separator/>
      </w:r>
    </w:p>
  </w:footnote>
  <w:footnote w:type="continuationSeparator" w:id="0">
    <w:p w:rsidR="003B1083" w:rsidRDefault="003B1083"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A62C9"/>
    <w:rsid w:val="000B33B6"/>
    <w:rsid w:val="000D51C8"/>
    <w:rsid w:val="00155BC2"/>
    <w:rsid w:val="001A45DB"/>
    <w:rsid w:val="001F7BFA"/>
    <w:rsid w:val="002159C8"/>
    <w:rsid w:val="002304B6"/>
    <w:rsid w:val="0024392F"/>
    <w:rsid w:val="002960DF"/>
    <w:rsid w:val="002B3E93"/>
    <w:rsid w:val="002D24A3"/>
    <w:rsid w:val="00302391"/>
    <w:rsid w:val="00320483"/>
    <w:rsid w:val="0037764A"/>
    <w:rsid w:val="003A3A68"/>
    <w:rsid w:val="003B1083"/>
    <w:rsid w:val="003E2E35"/>
    <w:rsid w:val="003E665F"/>
    <w:rsid w:val="003F176C"/>
    <w:rsid w:val="00406001"/>
    <w:rsid w:val="00434647"/>
    <w:rsid w:val="005023C7"/>
    <w:rsid w:val="00550E49"/>
    <w:rsid w:val="0059496F"/>
    <w:rsid w:val="005D6503"/>
    <w:rsid w:val="006250B9"/>
    <w:rsid w:val="00750633"/>
    <w:rsid w:val="0076295F"/>
    <w:rsid w:val="00786FE7"/>
    <w:rsid w:val="008062CE"/>
    <w:rsid w:val="0082423B"/>
    <w:rsid w:val="008822B5"/>
    <w:rsid w:val="008901D0"/>
    <w:rsid w:val="008B5574"/>
    <w:rsid w:val="008D1D02"/>
    <w:rsid w:val="008D3189"/>
    <w:rsid w:val="008E1E35"/>
    <w:rsid w:val="009707C6"/>
    <w:rsid w:val="00984A3E"/>
    <w:rsid w:val="00A40F3D"/>
    <w:rsid w:val="00C120B3"/>
    <w:rsid w:val="00C37F08"/>
    <w:rsid w:val="00D73E00"/>
    <w:rsid w:val="00DA7B43"/>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13</cp:revision>
  <dcterms:created xsi:type="dcterms:W3CDTF">2019-11-29T09:32:00Z</dcterms:created>
  <dcterms:modified xsi:type="dcterms:W3CDTF">2020-05-12T02:14:00Z</dcterms:modified>
</cp:coreProperties>
</file>