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509B1" w:rsidRDefault="0006460C" w:rsidP="00E509B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静脉输注泵工作站</w:t>
            </w:r>
          </w:p>
        </w:tc>
        <w:tc>
          <w:tcPr>
            <w:tcW w:w="6520" w:type="dxa"/>
          </w:tcPr>
          <w:p w:rsidR="000F6C4B" w:rsidRPr="00516E41" w:rsidRDefault="000F6C4B" w:rsidP="000F6C4B">
            <w:pPr>
              <w:spacing w:line="52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．数量及预算：</w:t>
            </w:r>
            <w:r w:rsidR="00C14414">
              <w:rPr>
                <w:rFonts w:ascii="微软雅黑" w:eastAsia="微软雅黑" w:hAnsi="微软雅黑" w:hint="eastAsia"/>
                <w:sz w:val="24"/>
                <w:szCs w:val="24"/>
              </w:rPr>
              <w:t>4</w:t>
            </w:r>
            <w:r>
              <w:rPr>
                <w:rFonts w:ascii="微软雅黑" w:eastAsia="微软雅黑" w:hAnsi="微软雅黑" w:hint="eastAsia"/>
                <w:sz w:val="24"/>
                <w:szCs w:val="24"/>
              </w:rPr>
              <w:t>台，</w:t>
            </w:r>
            <w:r w:rsidR="00C14414">
              <w:rPr>
                <w:rFonts w:ascii="微软雅黑" w:eastAsia="微软雅黑" w:hAnsi="微软雅黑" w:hint="eastAsia"/>
                <w:sz w:val="24"/>
                <w:szCs w:val="24"/>
              </w:rPr>
              <w:t>4</w:t>
            </w:r>
            <w:r>
              <w:rPr>
                <w:rFonts w:ascii="微软雅黑" w:eastAsia="微软雅黑" w:hAnsi="微软雅黑" w:hint="eastAsia"/>
                <w:sz w:val="24"/>
                <w:szCs w:val="24"/>
              </w:rPr>
              <w:t>万元</w:t>
            </w:r>
            <w:r w:rsidR="00C14414">
              <w:rPr>
                <w:rFonts w:ascii="微软雅黑" w:eastAsia="微软雅黑" w:hAnsi="微软雅黑" w:hint="eastAsia"/>
                <w:sz w:val="24"/>
                <w:szCs w:val="24"/>
              </w:rPr>
              <w:t>/套</w:t>
            </w:r>
            <w:r>
              <w:rPr>
                <w:rFonts w:ascii="微软雅黑" w:eastAsia="微软雅黑" w:hAnsi="微软雅黑" w:hint="eastAsia"/>
                <w:sz w:val="24"/>
                <w:szCs w:val="24"/>
              </w:rPr>
              <w:t>。</w:t>
            </w:r>
          </w:p>
          <w:p w:rsidR="000F6C4B" w:rsidRPr="00516E41" w:rsidRDefault="000F6C4B" w:rsidP="000F6C4B">
            <w:pPr>
              <w:spacing w:line="52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r w:rsidR="00076447">
              <w:rPr>
                <w:rFonts w:ascii="微软雅黑" w:eastAsia="微软雅黑" w:hAnsi="微软雅黑" w:hint="eastAsia"/>
                <w:sz w:val="24"/>
                <w:szCs w:val="24"/>
              </w:rPr>
              <w:t>≥4通道</w:t>
            </w:r>
          </w:p>
          <w:p w:rsidR="00C14414" w:rsidRDefault="000F6C4B" w:rsidP="00C14414">
            <w:pPr>
              <w:spacing w:line="520" w:lineRule="exact"/>
              <w:rPr>
                <w:rFonts w:ascii="微软雅黑" w:eastAsia="微软雅黑" w:hAnsi="微软雅黑" w:hint="eastAsia"/>
                <w:sz w:val="24"/>
                <w:szCs w:val="24"/>
              </w:rPr>
            </w:pPr>
            <w:r w:rsidRPr="00516E41">
              <w:rPr>
                <w:rFonts w:ascii="微软雅黑" w:eastAsia="微软雅黑" w:hAnsi="微软雅黑" w:hint="eastAsia"/>
                <w:sz w:val="24"/>
                <w:szCs w:val="24"/>
              </w:rPr>
              <w:t>2.1</w:t>
            </w:r>
            <w:r w:rsidR="00C14414">
              <w:rPr>
                <w:rFonts w:ascii="微软雅黑" w:eastAsia="微软雅黑" w:hAnsi="微软雅黑" w:hint="eastAsia"/>
                <w:sz w:val="24"/>
                <w:szCs w:val="24"/>
              </w:rPr>
              <w:t>速度范围：0.1-1500ml/h，以0.1ml/h递增。</w:t>
            </w:r>
          </w:p>
          <w:p w:rsidR="00C14414" w:rsidRDefault="00C14414" w:rsidP="00C14414">
            <w:pPr>
              <w:spacing w:line="520" w:lineRule="exact"/>
              <w:rPr>
                <w:rFonts w:ascii="微软雅黑" w:eastAsia="微软雅黑" w:hAnsi="微软雅黑" w:hint="eastAsia"/>
                <w:sz w:val="24"/>
                <w:szCs w:val="24"/>
              </w:rPr>
            </w:pPr>
            <w:r>
              <w:rPr>
                <w:rFonts w:ascii="微软雅黑" w:eastAsia="微软雅黑" w:hAnsi="微软雅黑" w:hint="eastAsia"/>
                <w:sz w:val="24"/>
                <w:szCs w:val="24"/>
              </w:rPr>
              <w:t>2.2总量范围：0.1-9000ml/h，以0.1ml递增。</w:t>
            </w:r>
          </w:p>
          <w:p w:rsidR="00C14414" w:rsidRDefault="00C14414" w:rsidP="00C14414">
            <w:pPr>
              <w:spacing w:line="520" w:lineRule="exact"/>
              <w:rPr>
                <w:rFonts w:ascii="微软雅黑" w:eastAsia="微软雅黑" w:hAnsi="微软雅黑" w:hint="eastAsia"/>
                <w:sz w:val="24"/>
                <w:szCs w:val="24"/>
              </w:rPr>
            </w:pPr>
            <w:r>
              <w:rPr>
                <w:rFonts w:ascii="微软雅黑" w:eastAsia="微软雅黑" w:hAnsi="微软雅黑" w:hint="eastAsia"/>
                <w:sz w:val="24"/>
                <w:szCs w:val="24"/>
              </w:rPr>
              <w:t>2.3时间范围：1分钟-24小时可调。</w:t>
            </w:r>
          </w:p>
          <w:p w:rsidR="00C14414" w:rsidRDefault="00C14414" w:rsidP="00C14414">
            <w:pPr>
              <w:spacing w:line="520" w:lineRule="exact"/>
              <w:rPr>
                <w:rFonts w:ascii="微软雅黑" w:eastAsia="微软雅黑" w:hAnsi="微软雅黑" w:hint="eastAsia"/>
                <w:sz w:val="24"/>
                <w:szCs w:val="24"/>
              </w:rPr>
            </w:pPr>
            <w:r>
              <w:rPr>
                <w:rFonts w:ascii="微软雅黑" w:eastAsia="微软雅黑" w:hAnsi="微软雅黑" w:hint="eastAsia"/>
                <w:sz w:val="24"/>
                <w:szCs w:val="24"/>
              </w:rPr>
              <w:t>2.4安装固定：可固定在输液支架上。</w:t>
            </w:r>
          </w:p>
          <w:p w:rsidR="00C14414" w:rsidRDefault="003876DE" w:rsidP="00C14414">
            <w:pPr>
              <w:spacing w:line="520" w:lineRule="exact"/>
              <w:rPr>
                <w:rFonts w:ascii="微软雅黑" w:eastAsia="微软雅黑" w:hAnsi="微软雅黑" w:hint="eastAsia"/>
                <w:sz w:val="24"/>
                <w:szCs w:val="24"/>
              </w:rPr>
            </w:pPr>
            <w:r w:rsidRPr="00516E41">
              <w:rPr>
                <w:rFonts w:ascii="微软雅黑" w:eastAsia="微软雅黑" w:hAnsi="微软雅黑" w:hint="eastAsia"/>
                <w:kern w:val="0"/>
                <w:sz w:val="24"/>
                <w:szCs w:val="24"/>
              </w:rPr>
              <w:t>*</w:t>
            </w:r>
            <w:r w:rsidR="00C14414">
              <w:rPr>
                <w:rFonts w:ascii="微软雅黑" w:eastAsia="微软雅黑" w:hAnsi="微软雅黑" w:hint="eastAsia"/>
                <w:sz w:val="24"/>
                <w:szCs w:val="24"/>
              </w:rPr>
              <w:t>2.5自动识别符合国标的注射器规格：5ml、10ml、20ml、30ml、50ml。</w:t>
            </w:r>
          </w:p>
          <w:p w:rsidR="00C14414" w:rsidRDefault="00C14414" w:rsidP="00C14414">
            <w:pPr>
              <w:spacing w:line="520" w:lineRule="exact"/>
              <w:rPr>
                <w:rFonts w:ascii="微软雅黑" w:eastAsia="微软雅黑" w:hAnsi="微软雅黑" w:hint="eastAsia"/>
                <w:sz w:val="24"/>
                <w:szCs w:val="24"/>
              </w:rPr>
            </w:pPr>
            <w:r>
              <w:rPr>
                <w:rFonts w:ascii="微软雅黑" w:eastAsia="微软雅黑" w:hAnsi="微软雅黑" w:hint="eastAsia"/>
                <w:sz w:val="24"/>
                <w:szCs w:val="24"/>
              </w:rPr>
              <w:t>2.6屏幕同屏显示：速率、当前注射状态、已注射量、注射器规格、电池容量等。</w:t>
            </w:r>
          </w:p>
          <w:p w:rsidR="00C14414" w:rsidRDefault="00C14414" w:rsidP="00C14414">
            <w:pPr>
              <w:spacing w:line="520" w:lineRule="exact"/>
              <w:rPr>
                <w:rFonts w:ascii="微软雅黑" w:eastAsia="微软雅黑" w:hAnsi="微软雅黑" w:hint="eastAsia"/>
                <w:sz w:val="24"/>
                <w:szCs w:val="24"/>
              </w:rPr>
            </w:pPr>
            <w:r>
              <w:rPr>
                <w:rFonts w:ascii="微软雅黑" w:eastAsia="微软雅黑" w:hAnsi="微软雅黑" w:hint="eastAsia"/>
                <w:sz w:val="24"/>
                <w:szCs w:val="24"/>
              </w:rPr>
              <w:t>2.7报警包含：阻塞、电池耗尽、完成、KVO完成、注射器排空、注射器脱落、系统故障、待机时间结束、电池电量低、网电源脱落等。</w:t>
            </w:r>
          </w:p>
          <w:p w:rsidR="00C14414" w:rsidRDefault="003876DE" w:rsidP="00C14414">
            <w:pPr>
              <w:spacing w:line="520" w:lineRule="exact"/>
              <w:rPr>
                <w:rFonts w:ascii="微软雅黑" w:eastAsia="微软雅黑" w:hAnsi="微软雅黑" w:hint="eastAsia"/>
                <w:sz w:val="24"/>
                <w:szCs w:val="24"/>
              </w:rPr>
            </w:pPr>
            <w:r w:rsidRPr="00516E41">
              <w:rPr>
                <w:rFonts w:ascii="微软雅黑" w:eastAsia="微软雅黑" w:hAnsi="微软雅黑" w:hint="eastAsia"/>
                <w:kern w:val="0"/>
                <w:sz w:val="24"/>
                <w:szCs w:val="24"/>
              </w:rPr>
              <w:t>*</w:t>
            </w:r>
            <w:r w:rsidR="00C14414">
              <w:rPr>
                <w:rFonts w:ascii="微软雅黑" w:eastAsia="微软雅黑" w:hAnsi="微软雅黑" w:hint="eastAsia"/>
                <w:sz w:val="24"/>
                <w:szCs w:val="24"/>
              </w:rPr>
              <w:t>2.8</w:t>
            </w:r>
            <w:proofErr w:type="gramStart"/>
            <w:r w:rsidR="00C14414">
              <w:rPr>
                <w:rFonts w:ascii="微软雅黑" w:eastAsia="微软雅黑" w:hAnsi="微软雅黑" w:hint="eastAsia"/>
                <w:sz w:val="24"/>
                <w:szCs w:val="24"/>
              </w:rPr>
              <w:t>需开放</w:t>
            </w:r>
            <w:proofErr w:type="gramEnd"/>
            <w:r w:rsidR="00C14414">
              <w:rPr>
                <w:rFonts w:ascii="微软雅黑" w:eastAsia="微软雅黑" w:hAnsi="微软雅黑" w:hint="eastAsia"/>
                <w:sz w:val="24"/>
                <w:szCs w:val="24"/>
              </w:rPr>
              <w:t>接口连接医院现用的手麻系统。</w:t>
            </w:r>
          </w:p>
          <w:p w:rsidR="00C14414" w:rsidRPr="00C14414" w:rsidRDefault="00C14414" w:rsidP="00C14414">
            <w:pPr>
              <w:spacing w:line="520" w:lineRule="exact"/>
              <w:rPr>
                <w:rFonts w:ascii="微软雅黑" w:eastAsia="微软雅黑" w:hAnsi="微软雅黑" w:hint="eastAsia"/>
                <w:sz w:val="24"/>
                <w:szCs w:val="24"/>
              </w:rPr>
            </w:pPr>
            <w:r>
              <w:rPr>
                <w:rFonts w:ascii="微软雅黑" w:eastAsia="微软雅黑" w:hAnsi="微软雅黑" w:hint="eastAsia"/>
                <w:sz w:val="24"/>
                <w:szCs w:val="24"/>
              </w:rPr>
              <w:t>2.9电池：可充电锂电池，工作时间＞6小时。</w:t>
            </w:r>
          </w:p>
          <w:p w:rsidR="00302391" w:rsidRPr="00E509B1" w:rsidRDefault="000F6C4B" w:rsidP="00C14414">
            <w:pPr>
              <w:spacing w:line="520" w:lineRule="exact"/>
              <w:rPr>
                <w:rFonts w:ascii="微软雅黑" w:eastAsia="微软雅黑" w:hAnsi="微软雅黑"/>
                <w:sz w:val="24"/>
                <w:szCs w:val="24"/>
              </w:rPr>
            </w:pPr>
            <w:r>
              <w:rPr>
                <w:rFonts w:ascii="微软雅黑" w:eastAsia="微软雅黑" w:hAnsi="微软雅黑" w:hint="eastAsia"/>
                <w:sz w:val="24"/>
                <w:szCs w:val="24"/>
              </w:rPr>
              <w:t>2</w:t>
            </w:r>
            <w:r w:rsidR="00C14414">
              <w:rPr>
                <w:rFonts w:ascii="微软雅黑" w:eastAsia="微软雅黑" w:hAnsi="微软雅黑" w:hint="eastAsia"/>
                <w:sz w:val="24"/>
                <w:szCs w:val="24"/>
              </w:rPr>
              <w:t>.10</w:t>
            </w:r>
            <w:r w:rsidRPr="00C4163B">
              <w:rPr>
                <w:rFonts w:ascii="微软雅黑" w:eastAsia="微软雅黑" w:hAnsi="微软雅黑" w:hint="eastAsia"/>
                <w:sz w:val="24"/>
                <w:szCs w:val="24"/>
              </w:rPr>
              <w:t>质保期：整机质保≥24个月；质保</w:t>
            </w:r>
            <w:r>
              <w:rPr>
                <w:rFonts w:ascii="微软雅黑" w:eastAsia="微软雅黑" w:hAnsi="微软雅黑" w:hint="eastAsia"/>
                <w:sz w:val="24"/>
                <w:szCs w:val="24"/>
              </w:rPr>
              <w:t>期从完成所有安装、调试、设备运行良好，以及完成所有培训后一个月</w:t>
            </w:r>
            <w:r w:rsidRPr="00516E41">
              <w:rPr>
                <w:rFonts w:ascii="微软雅黑" w:eastAsia="微软雅黑" w:hAnsi="微软雅黑" w:hint="eastAsia"/>
                <w:sz w:val="24"/>
                <w:szCs w:val="24"/>
              </w:rPr>
              <w:t>。</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DA7B43" w:rsidRPr="008E1E35" w:rsidTr="008E1E35">
        <w:trPr>
          <w:trHeight w:val="1599"/>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4</w:t>
            </w:r>
          </w:p>
        </w:tc>
        <w:tc>
          <w:tcPr>
            <w:tcW w:w="11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Pr="008E1E35">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left"/>
              <w:rPr>
                <w:rFonts w:ascii="微软雅黑" w:eastAsia="微软雅黑" w:hAnsi="微软雅黑" w:cs="Segoe UI"/>
                <w:color w:val="333333"/>
                <w:kern w:val="0"/>
                <w:szCs w:val="21"/>
              </w:rPr>
            </w:pPr>
            <w:r w:rsidRPr="008E1E35">
              <w:rPr>
                <w:rFonts w:ascii="微软雅黑" w:eastAsia="微软雅黑" w:hAnsi="微软雅黑" w:cs="Segoe UI"/>
                <w:color w:val="333333"/>
                <w:kern w:val="0"/>
                <w:szCs w:val="21"/>
              </w:rPr>
              <w:t> </w:t>
            </w:r>
          </w:p>
        </w:tc>
      </w:tr>
      <w:tr w:rsidR="00DA7B43" w:rsidRPr="008E1E35" w:rsidTr="008E1E35">
        <w:trPr>
          <w:trHeight w:val="1407"/>
        </w:trPr>
        <w:tc>
          <w:tcPr>
            <w:tcW w:w="709" w:type="dxa"/>
            <w:vMerge/>
            <w:tcBorders>
              <w:top w:val="nil"/>
              <w:left w:val="single" w:sz="8" w:space="0" w:color="auto"/>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1135"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708"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0F6C4B">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r w:rsidR="000F6C4B">
              <w:rPr>
                <w:rFonts w:ascii="微软雅黑" w:eastAsia="微软雅黑" w:hAnsi="微软雅黑" w:cs="Segoe UI" w:hint="eastAsia"/>
                <w:color w:val="000000"/>
                <w:kern w:val="0"/>
                <w:szCs w:val="21"/>
              </w:rPr>
              <w:t>提供</w:t>
            </w:r>
            <w:r w:rsidRPr="008E1E35">
              <w:rPr>
                <w:rFonts w:ascii="微软雅黑" w:eastAsia="微软雅黑" w:hAnsi="微软雅黑" w:cs="Segoe UI" w:hint="eastAsia"/>
                <w:color w:val="000000"/>
                <w:kern w:val="0"/>
                <w:szCs w:val="21"/>
              </w:rPr>
              <w:t>设备</w:t>
            </w:r>
            <w:r w:rsidR="000F6C4B">
              <w:rPr>
                <w:rFonts w:ascii="微软雅黑" w:eastAsia="微软雅黑" w:hAnsi="微软雅黑" w:cs="Segoe UI" w:hint="eastAsia"/>
                <w:color w:val="000000"/>
                <w:kern w:val="0"/>
                <w:szCs w:val="21"/>
              </w:rPr>
              <w:t>的</w:t>
            </w:r>
            <w:r w:rsidRPr="008E1E35">
              <w:rPr>
                <w:rFonts w:ascii="微软雅黑" w:eastAsia="微软雅黑" w:hAnsi="微软雅黑" w:cs="Segoe UI" w:hint="eastAsia"/>
                <w:color w:val="000000"/>
                <w:kern w:val="0"/>
                <w:szCs w:val="21"/>
              </w:rPr>
              <w:t>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0F6C4B"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lastRenderedPageBreak/>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5F" w:rsidRDefault="0015585F" w:rsidP="009707C6">
      <w:r>
        <w:separator/>
      </w:r>
    </w:p>
  </w:endnote>
  <w:endnote w:type="continuationSeparator" w:id="0">
    <w:p w:rsidR="0015585F" w:rsidRDefault="0015585F"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5F" w:rsidRDefault="0015585F" w:rsidP="009707C6">
      <w:r>
        <w:separator/>
      </w:r>
    </w:p>
  </w:footnote>
  <w:footnote w:type="continuationSeparator" w:id="0">
    <w:p w:rsidR="0015585F" w:rsidRDefault="0015585F"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36523"/>
    <w:rsid w:val="0006460C"/>
    <w:rsid w:val="00076447"/>
    <w:rsid w:val="000A62C9"/>
    <w:rsid w:val="000B33B6"/>
    <w:rsid w:val="000D51C8"/>
    <w:rsid w:val="000F6C4B"/>
    <w:rsid w:val="0015585F"/>
    <w:rsid w:val="00155BC2"/>
    <w:rsid w:val="00162B49"/>
    <w:rsid w:val="001A45DB"/>
    <w:rsid w:val="001F7BFA"/>
    <w:rsid w:val="002159C8"/>
    <w:rsid w:val="002304B6"/>
    <w:rsid w:val="00241D90"/>
    <w:rsid w:val="0024392F"/>
    <w:rsid w:val="002960DF"/>
    <w:rsid w:val="002B3E93"/>
    <w:rsid w:val="002D24A3"/>
    <w:rsid w:val="00302391"/>
    <w:rsid w:val="00316715"/>
    <w:rsid w:val="00320483"/>
    <w:rsid w:val="0037764A"/>
    <w:rsid w:val="003876DE"/>
    <w:rsid w:val="003A3A68"/>
    <w:rsid w:val="003B1083"/>
    <w:rsid w:val="003B1285"/>
    <w:rsid w:val="003E2E35"/>
    <w:rsid w:val="003E665F"/>
    <w:rsid w:val="003F176C"/>
    <w:rsid w:val="00406001"/>
    <w:rsid w:val="00434647"/>
    <w:rsid w:val="005023C7"/>
    <w:rsid w:val="00550E49"/>
    <w:rsid w:val="0059496F"/>
    <w:rsid w:val="005B3408"/>
    <w:rsid w:val="005D6503"/>
    <w:rsid w:val="006250B9"/>
    <w:rsid w:val="006F4692"/>
    <w:rsid w:val="00750633"/>
    <w:rsid w:val="0076295F"/>
    <w:rsid w:val="00786FE7"/>
    <w:rsid w:val="007E11FD"/>
    <w:rsid w:val="008062CE"/>
    <w:rsid w:val="0082423B"/>
    <w:rsid w:val="008822B5"/>
    <w:rsid w:val="008901D0"/>
    <w:rsid w:val="008B5574"/>
    <w:rsid w:val="008D1D02"/>
    <w:rsid w:val="008D3189"/>
    <w:rsid w:val="008E1E35"/>
    <w:rsid w:val="009707C6"/>
    <w:rsid w:val="00984A3E"/>
    <w:rsid w:val="00A40F3D"/>
    <w:rsid w:val="00B70FF7"/>
    <w:rsid w:val="00C120B3"/>
    <w:rsid w:val="00C14414"/>
    <w:rsid w:val="00C37F08"/>
    <w:rsid w:val="00D73E00"/>
    <w:rsid w:val="00DA7B43"/>
    <w:rsid w:val="00DD1D05"/>
    <w:rsid w:val="00E509B1"/>
    <w:rsid w:val="00E85AF3"/>
    <w:rsid w:val="00EF7D43"/>
    <w:rsid w:val="00F0757B"/>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30</cp:revision>
  <dcterms:created xsi:type="dcterms:W3CDTF">2019-11-29T09:32:00Z</dcterms:created>
  <dcterms:modified xsi:type="dcterms:W3CDTF">2020-05-29T07:05:00Z</dcterms:modified>
</cp:coreProperties>
</file>