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B3676A">
        <w:trPr>
          <w:trHeight w:val="496"/>
        </w:trPr>
        <w:tc>
          <w:tcPr>
            <w:tcW w:w="1702" w:type="dxa"/>
            <w:vAlign w:val="center"/>
          </w:tcPr>
          <w:p w:rsidR="00550E49" w:rsidRPr="00B3676A" w:rsidRDefault="00550E49" w:rsidP="00B3676A">
            <w:pPr>
              <w:widowControl/>
              <w:jc w:val="center"/>
              <w:rPr>
                <w:rFonts w:asciiTheme="minorEastAsia" w:hAnsiTheme="minorEastAsia"/>
                <w:sz w:val="24"/>
                <w:szCs w:val="24"/>
              </w:rPr>
            </w:pPr>
            <w:proofErr w:type="gramStart"/>
            <w:r w:rsidRPr="00B3676A">
              <w:rPr>
                <w:rFonts w:asciiTheme="minorEastAsia" w:hAnsiTheme="minorEastAsia" w:hint="eastAsia"/>
                <w:sz w:val="24"/>
                <w:szCs w:val="24"/>
              </w:rPr>
              <w:t>包号</w:t>
            </w:r>
            <w:proofErr w:type="gramEnd"/>
          </w:p>
        </w:tc>
        <w:tc>
          <w:tcPr>
            <w:tcW w:w="1843" w:type="dxa"/>
            <w:vAlign w:val="center"/>
          </w:tcPr>
          <w:p w:rsidR="00550E49" w:rsidRPr="00B3676A" w:rsidRDefault="00550E49" w:rsidP="00B3676A">
            <w:pPr>
              <w:widowControl/>
              <w:wordWrap w:val="0"/>
              <w:jc w:val="center"/>
              <w:rPr>
                <w:rFonts w:asciiTheme="minorEastAsia" w:hAnsiTheme="minorEastAsia"/>
                <w:sz w:val="24"/>
                <w:szCs w:val="24"/>
              </w:rPr>
            </w:pPr>
            <w:r w:rsidRPr="00B3676A">
              <w:rPr>
                <w:rFonts w:asciiTheme="minorEastAsia" w:hAnsiTheme="minorEastAsia" w:hint="eastAsia"/>
                <w:sz w:val="24"/>
                <w:szCs w:val="24"/>
              </w:rPr>
              <w:t>产品名称</w:t>
            </w:r>
          </w:p>
        </w:tc>
        <w:tc>
          <w:tcPr>
            <w:tcW w:w="6520" w:type="dxa"/>
            <w:vAlign w:val="center"/>
          </w:tcPr>
          <w:p w:rsidR="00550E49" w:rsidRPr="00B3676A" w:rsidRDefault="00550E49" w:rsidP="00B3676A">
            <w:pPr>
              <w:widowControl/>
              <w:wordWrap w:val="0"/>
              <w:jc w:val="center"/>
              <w:rPr>
                <w:rFonts w:asciiTheme="minorEastAsia" w:hAnsiTheme="minorEastAsia"/>
                <w:sz w:val="24"/>
                <w:szCs w:val="24"/>
              </w:rPr>
            </w:pPr>
            <w:r w:rsidRPr="00B3676A">
              <w:rPr>
                <w:rFonts w:asciiTheme="minorEastAsia" w:hAnsiTheme="minorEastAsia" w:hint="eastAsia"/>
                <w:sz w:val="24"/>
                <w:szCs w:val="24"/>
              </w:rPr>
              <w:t>技术要求</w:t>
            </w:r>
          </w:p>
        </w:tc>
      </w:tr>
      <w:tr w:rsidR="00302391" w:rsidRPr="008E1E35" w:rsidTr="004A1DE7">
        <w:trPr>
          <w:trHeight w:val="4401"/>
        </w:trPr>
        <w:tc>
          <w:tcPr>
            <w:tcW w:w="1702" w:type="dxa"/>
            <w:vAlign w:val="center"/>
          </w:tcPr>
          <w:p w:rsidR="00302391" w:rsidRPr="00A43AC7" w:rsidRDefault="00302391" w:rsidP="00B3676A">
            <w:pPr>
              <w:spacing w:line="360" w:lineRule="auto"/>
              <w:jc w:val="center"/>
              <w:rPr>
                <w:rFonts w:ascii="微软雅黑" w:eastAsia="微软雅黑" w:hAnsi="微软雅黑" w:cs="Segoe UI"/>
                <w:bCs/>
                <w:color w:val="333333"/>
                <w:kern w:val="0"/>
                <w:sz w:val="24"/>
                <w:szCs w:val="24"/>
              </w:rPr>
            </w:pPr>
            <w:r w:rsidRPr="00B3676A">
              <w:rPr>
                <w:rFonts w:asciiTheme="minorEastAsia" w:hAnsiTheme="minorEastAsia" w:hint="eastAsia"/>
                <w:sz w:val="24"/>
                <w:szCs w:val="24"/>
              </w:rPr>
              <w:t>1</w:t>
            </w:r>
          </w:p>
        </w:tc>
        <w:tc>
          <w:tcPr>
            <w:tcW w:w="1843" w:type="dxa"/>
            <w:vAlign w:val="center"/>
          </w:tcPr>
          <w:p w:rsidR="00302391" w:rsidRPr="00381F4A" w:rsidRDefault="00381F4A" w:rsidP="00C50D05">
            <w:pPr>
              <w:spacing w:line="480" w:lineRule="exact"/>
              <w:jc w:val="center"/>
              <w:rPr>
                <w:rFonts w:ascii="微软雅黑" w:eastAsia="微软雅黑" w:hAnsi="微软雅黑" w:cs="Segoe UI"/>
                <w:bCs/>
                <w:color w:val="333333"/>
                <w:kern w:val="0"/>
                <w:sz w:val="24"/>
                <w:szCs w:val="24"/>
              </w:rPr>
            </w:pPr>
            <w:r w:rsidRPr="00381F4A">
              <w:rPr>
                <w:rFonts w:ascii="微软雅黑" w:eastAsia="微软雅黑" w:hAnsi="微软雅黑" w:cs="Segoe UI" w:hint="eastAsia"/>
                <w:bCs/>
                <w:color w:val="333333"/>
                <w:kern w:val="0"/>
                <w:sz w:val="24"/>
                <w:szCs w:val="24"/>
              </w:rPr>
              <w:t>轮状病毒抗原、腺病毒抗原联合检测试剂盒</w:t>
            </w:r>
          </w:p>
        </w:tc>
        <w:tc>
          <w:tcPr>
            <w:tcW w:w="6520" w:type="dxa"/>
          </w:tcPr>
          <w:p w:rsidR="00381F4A" w:rsidRDefault="00381F4A" w:rsidP="00381F4A">
            <w:pPr>
              <w:rPr>
                <w:rFonts w:ascii="微软雅黑" w:eastAsia="微软雅黑" w:hAnsi="微软雅黑"/>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用于检测婴幼儿粪便标本中的轮状病毒抗原、腺病毒抗原；</w:t>
            </w:r>
          </w:p>
          <w:p w:rsidR="00381F4A" w:rsidRPr="007B23F2" w:rsidRDefault="00381F4A" w:rsidP="00381F4A">
            <w:pPr>
              <w:rPr>
                <w:rFonts w:ascii="微软雅黑" w:eastAsia="微软雅黑" w:hAnsi="微软雅黑"/>
                <w:sz w:val="24"/>
                <w:szCs w:val="24"/>
              </w:rPr>
            </w:pPr>
            <w:r>
              <w:rPr>
                <w:rFonts w:ascii="微软雅黑" w:eastAsia="微软雅黑" w:hAnsi="微软雅黑" w:hint="eastAsia"/>
                <w:sz w:val="24"/>
                <w:szCs w:val="24"/>
              </w:rPr>
              <w:t>2、</w:t>
            </w:r>
            <w:r w:rsidRPr="007B23F2">
              <w:rPr>
                <w:rFonts w:ascii="微软雅黑" w:eastAsia="微软雅黑" w:hAnsi="微软雅黑"/>
                <w:sz w:val="24"/>
                <w:szCs w:val="24"/>
              </w:rPr>
              <w:t>检测</w:t>
            </w:r>
            <w:r w:rsidRPr="007B23F2">
              <w:rPr>
                <w:rFonts w:ascii="微软雅黑" w:eastAsia="微软雅黑" w:hAnsi="微软雅黑" w:hint="eastAsia"/>
                <w:sz w:val="24"/>
                <w:szCs w:val="24"/>
              </w:rPr>
              <w:t>原理：</w:t>
            </w:r>
            <w:r w:rsidRPr="007B23F2">
              <w:rPr>
                <w:rFonts w:ascii="微软雅黑" w:eastAsia="微软雅黑" w:hAnsi="微软雅黑"/>
                <w:sz w:val="24"/>
                <w:szCs w:val="24"/>
              </w:rPr>
              <w:t>免疫层析法</w:t>
            </w:r>
            <w:r w:rsidRPr="007B23F2">
              <w:rPr>
                <w:rFonts w:ascii="微软雅黑" w:eastAsia="微软雅黑" w:hAnsi="微软雅黑" w:hint="eastAsia"/>
                <w:sz w:val="24"/>
                <w:szCs w:val="24"/>
              </w:rPr>
              <w:t>、</w:t>
            </w:r>
            <w:r w:rsidRPr="007B23F2">
              <w:rPr>
                <w:rFonts w:ascii="微软雅黑" w:eastAsia="微软雅黑" w:hAnsi="微软雅黑"/>
                <w:sz w:val="24"/>
                <w:szCs w:val="24"/>
              </w:rPr>
              <w:t>胶体金法或乳胶法均可</w:t>
            </w:r>
            <w:r w:rsidRPr="007B23F2">
              <w:rPr>
                <w:rFonts w:ascii="微软雅黑" w:eastAsia="微软雅黑" w:hAnsi="微软雅黑" w:hint="eastAsia"/>
                <w:sz w:val="24"/>
                <w:szCs w:val="24"/>
              </w:rPr>
              <w:t>，肉眼判读结果；</w:t>
            </w:r>
          </w:p>
          <w:p w:rsidR="00381F4A" w:rsidRDefault="00381F4A" w:rsidP="00381F4A">
            <w:pPr>
              <w:rPr>
                <w:rFonts w:ascii="微软雅黑" w:eastAsia="微软雅黑" w:hAnsi="微软雅黑"/>
                <w:sz w:val="24"/>
                <w:szCs w:val="24"/>
              </w:rPr>
            </w:pPr>
            <w:r>
              <w:rPr>
                <w:rFonts w:ascii="微软雅黑" w:eastAsia="微软雅黑" w:hAnsi="微软雅黑" w:hint="eastAsia"/>
                <w:sz w:val="24"/>
                <w:szCs w:val="24"/>
              </w:rPr>
              <w:t>3、</w:t>
            </w:r>
            <w:r w:rsidRPr="007B23F2">
              <w:rPr>
                <w:rFonts w:ascii="微软雅黑" w:eastAsia="微软雅黑" w:hAnsi="微软雅黑" w:hint="eastAsia"/>
                <w:sz w:val="24"/>
                <w:szCs w:val="24"/>
              </w:rPr>
              <w:t>规格：单人份包装；</w:t>
            </w:r>
          </w:p>
          <w:p w:rsidR="00381F4A" w:rsidRPr="007B23F2" w:rsidRDefault="00381F4A" w:rsidP="00381F4A">
            <w:pPr>
              <w:rPr>
                <w:rFonts w:ascii="微软雅黑" w:eastAsia="微软雅黑" w:hAnsi="微软雅黑"/>
                <w:sz w:val="24"/>
                <w:szCs w:val="24"/>
              </w:rPr>
            </w:pPr>
            <w:r>
              <w:rPr>
                <w:rFonts w:ascii="微软雅黑" w:eastAsia="微软雅黑" w:hAnsi="微软雅黑" w:hint="eastAsia"/>
                <w:sz w:val="24"/>
                <w:szCs w:val="24"/>
              </w:rPr>
              <w:t>4、</w:t>
            </w:r>
            <w:r w:rsidRPr="007B23F2">
              <w:rPr>
                <w:rFonts w:ascii="微软雅黑" w:eastAsia="微软雅黑" w:hAnsi="微软雅黑"/>
                <w:sz w:val="24"/>
                <w:szCs w:val="24"/>
              </w:rPr>
              <w:t>存储条件：</w:t>
            </w:r>
            <w:r w:rsidRPr="007B23F2">
              <w:rPr>
                <w:rFonts w:ascii="微软雅黑" w:eastAsia="微软雅黑" w:hAnsi="微软雅黑" w:hint="eastAsia"/>
                <w:sz w:val="24"/>
                <w:szCs w:val="24"/>
              </w:rPr>
              <w:t>4℃-30℃密封干燥保存</w:t>
            </w:r>
            <w:r w:rsidRPr="007B23F2">
              <w:rPr>
                <w:rFonts w:ascii="微软雅黑" w:eastAsia="微软雅黑" w:hAnsi="微软雅黑"/>
                <w:sz w:val="24"/>
                <w:szCs w:val="24"/>
              </w:rPr>
              <w:t>；</w:t>
            </w:r>
          </w:p>
          <w:p w:rsidR="00381F4A" w:rsidRPr="007B23F2" w:rsidRDefault="00381F4A" w:rsidP="00381F4A">
            <w:pPr>
              <w:rPr>
                <w:rFonts w:ascii="微软雅黑" w:eastAsia="微软雅黑" w:hAnsi="微软雅黑"/>
                <w:sz w:val="24"/>
                <w:szCs w:val="24"/>
              </w:rPr>
            </w:pPr>
            <w:r>
              <w:rPr>
                <w:rFonts w:ascii="微软雅黑" w:eastAsia="微软雅黑" w:hAnsi="微软雅黑" w:hint="eastAsia"/>
                <w:sz w:val="24"/>
                <w:szCs w:val="24"/>
              </w:rPr>
              <w:t>5、</w:t>
            </w:r>
            <w:r w:rsidRPr="007B23F2">
              <w:rPr>
                <w:rFonts w:ascii="微软雅黑" w:eastAsia="微软雅黑" w:hAnsi="微软雅黑" w:hint="eastAsia"/>
                <w:sz w:val="24"/>
                <w:szCs w:val="24"/>
              </w:rPr>
              <w:t>试剂有效期：≥12个月；</w:t>
            </w:r>
          </w:p>
          <w:p w:rsidR="00381F4A" w:rsidRDefault="00381F4A" w:rsidP="00381F4A">
            <w:pPr>
              <w:rPr>
                <w:rFonts w:ascii="微软雅黑" w:eastAsia="微软雅黑" w:hAnsi="微软雅黑"/>
                <w:sz w:val="24"/>
                <w:szCs w:val="24"/>
              </w:rPr>
            </w:pPr>
            <w:r w:rsidRPr="00972478">
              <w:rPr>
                <w:rFonts w:ascii="微软雅黑" w:eastAsia="微软雅黑" w:hAnsi="微软雅黑" w:hint="eastAsia"/>
                <w:sz w:val="24"/>
                <w:szCs w:val="24"/>
              </w:rPr>
              <w:t>*</w:t>
            </w:r>
            <w:r>
              <w:rPr>
                <w:rFonts w:ascii="微软雅黑" w:eastAsia="微软雅黑" w:hAnsi="微软雅黑" w:hint="eastAsia"/>
                <w:sz w:val="24"/>
                <w:szCs w:val="24"/>
              </w:rPr>
              <w:t>6、</w:t>
            </w:r>
            <w:r w:rsidRPr="00972478">
              <w:rPr>
                <w:rFonts w:ascii="微软雅黑" w:eastAsia="微软雅黑" w:hAnsi="微软雅黑" w:hint="eastAsia"/>
                <w:sz w:val="24"/>
                <w:szCs w:val="24"/>
              </w:rPr>
              <w:t>快速检测：检测时长≤15分钟；</w:t>
            </w:r>
          </w:p>
          <w:p w:rsidR="00302391" w:rsidRPr="00A43AC7" w:rsidRDefault="00381F4A" w:rsidP="00381F4A">
            <w:pPr>
              <w:spacing w:line="480" w:lineRule="exact"/>
              <w:jc w:val="left"/>
              <w:rPr>
                <w:rFonts w:ascii="微软雅黑" w:eastAsia="微软雅黑" w:hAnsi="微软雅黑"/>
                <w:sz w:val="22"/>
                <w:szCs w:val="24"/>
              </w:rPr>
            </w:pPr>
            <w:r>
              <w:rPr>
                <w:rFonts w:ascii="微软雅黑" w:eastAsia="微软雅黑" w:hAnsi="微软雅黑" w:hint="eastAsia"/>
                <w:sz w:val="24"/>
                <w:szCs w:val="24"/>
              </w:rPr>
              <w:t>7、</w:t>
            </w:r>
            <w:r w:rsidRPr="00972478">
              <w:rPr>
                <w:rFonts w:ascii="微软雅黑" w:eastAsia="微软雅黑" w:hAnsi="微软雅黑" w:hint="eastAsia"/>
                <w:sz w:val="24"/>
                <w:szCs w:val="24"/>
              </w:rPr>
              <w:t>提供厂家或第三方标准品用于</w:t>
            </w:r>
            <w:proofErr w:type="gramStart"/>
            <w:r w:rsidRPr="00972478">
              <w:rPr>
                <w:rFonts w:ascii="微软雅黑" w:eastAsia="微软雅黑" w:hAnsi="微软雅黑" w:hint="eastAsia"/>
                <w:sz w:val="24"/>
                <w:szCs w:val="24"/>
              </w:rPr>
              <w:t>室内质</w:t>
            </w:r>
            <w:proofErr w:type="gramEnd"/>
            <w:r w:rsidRPr="00972478">
              <w:rPr>
                <w:rFonts w:ascii="微软雅黑" w:eastAsia="微软雅黑" w:hAnsi="微软雅黑" w:hint="eastAsia"/>
                <w:sz w:val="24"/>
                <w:szCs w:val="24"/>
              </w:rPr>
              <w:t>控。</w:t>
            </w:r>
          </w:p>
        </w:tc>
      </w:tr>
    </w:tbl>
    <w:p w:rsidR="004A1DE7" w:rsidRPr="00381F4A" w:rsidRDefault="004A1DE7" w:rsidP="00381F4A">
      <w:pPr>
        <w:widowControl/>
        <w:shd w:val="clear" w:color="auto" w:fill="FFFFFF"/>
        <w:wordWrap w:val="0"/>
        <w:spacing w:line="360" w:lineRule="auto"/>
        <w:jc w:val="left"/>
        <w:rPr>
          <w:rFonts w:asciiTheme="minorEastAsia" w:hAnsiTheme="minorEastAsia" w:cs="Segoe UI"/>
          <w:b/>
          <w:bCs/>
          <w:color w:val="333333"/>
          <w:kern w:val="0"/>
          <w:sz w:val="24"/>
          <w:szCs w:val="24"/>
        </w:rPr>
      </w:pPr>
    </w:p>
    <w:p w:rsidR="00B3676A" w:rsidRDefault="00B3676A" w:rsidP="002235A9">
      <w:pPr>
        <w:widowControl/>
        <w:shd w:val="clear" w:color="auto" w:fill="FFFFFF"/>
        <w:wordWrap w:val="0"/>
        <w:spacing w:line="360" w:lineRule="auto"/>
        <w:ind w:leftChars="-405" w:left="-850"/>
        <w:jc w:val="left"/>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附件</w:t>
      </w:r>
      <w:r>
        <w:rPr>
          <w:rFonts w:asciiTheme="minorEastAsia" w:hAnsiTheme="minorEastAsia" w:cs="Segoe UI"/>
          <w:b/>
          <w:bCs/>
          <w:color w:val="333333"/>
          <w:kern w:val="0"/>
          <w:sz w:val="24"/>
          <w:szCs w:val="24"/>
        </w:rPr>
        <w:t>2</w:t>
      </w:r>
      <w:r>
        <w:rPr>
          <w:rFonts w:asciiTheme="minorEastAsia" w:hAnsiTheme="minorEastAsia" w:cs="Segoe UI" w:hint="eastAsia"/>
          <w:b/>
          <w:bCs/>
          <w:color w:val="333333"/>
          <w:kern w:val="0"/>
          <w:sz w:val="24"/>
          <w:szCs w:val="24"/>
        </w:rPr>
        <w:t>：评审办法（综合评分明细表）</w:t>
      </w:r>
    </w:p>
    <w:tbl>
      <w:tblPr>
        <w:tblW w:w="10065" w:type="dxa"/>
        <w:tblInd w:w="-743" w:type="dxa"/>
        <w:shd w:val="clear" w:color="auto" w:fill="FFFFFF"/>
        <w:tblCellMar>
          <w:left w:w="0" w:type="dxa"/>
          <w:right w:w="0" w:type="dxa"/>
        </w:tblCellMar>
        <w:tblLook w:val="04A0"/>
      </w:tblPr>
      <w:tblGrid>
        <w:gridCol w:w="851"/>
        <w:gridCol w:w="1276"/>
        <w:gridCol w:w="763"/>
        <w:gridCol w:w="3294"/>
        <w:gridCol w:w="3881"/>
      </w:tblGrid>
      <w:tr w:rsidR="00B3676A" w:rsidTr="00B3676A">
        <w:trPr>
          <w:trHeight w:val="65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评分因素</w:t>
            </w:r>
          </w:p>
        </w:tc>
        <w:tc>
          <w:tcPr>
            <w:tcW w:w="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分值</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评分标准</w:t>
            </w:r>
          </w:p>
        </w:tc>
        <w:tc>
          <w:tcPr>
            <w:tcW w:w="3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说明</w:t>
            </w:r>
          </w:p>
        </w:tc>
      </w:tr>
      <w:tr w:rsidR="00B3676A" w:rsidTr="00B3676A">
        <w:trPr>
          <w:trHeight w:val="169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投标报价50%</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满足招标文件要求且投标价格最低的投标报价为评标基准价，其价格分为满分。其他投标单位的价格</w:t>
            </w:r>
            <w:proofErr w:type="gramStart"/>
            <w:r>
              <w:rPr>
                <w:rFonts w:asciiTheme="minorEastAsia" w:hAnsiTheme="minorEastAsia" w:cs="Segoe UI" w:hint="eastAsia"/>
                <w:color w:val="000000"/>
                <w:kern w:val="0"/>
                <w:sz w:val="24"/>
                <w:szCs w:val="24"/>
              </w:rPr>
              <w:t>分统一</w:t>
            </w:r>
            <w:proofErr w:type="gramEnd"/>
            <w:r>
              <w:rPr>
                <w:rFonts w:asciiTheme="minorEastAsia" w:hAnsiTheme="minorEastAsia" w:cs="Segoe UI" w:hint="eastAsia"/>
                <w:color w:val="000000"/>
                <w:kern w:val="0"/>
                <w:sz w:val="24"/>
                <w:szCs w:val="24"/>
              </w:rPr>
              <w:t>按照下列公式计算：投标报价得分=(评标基准价／投标报价)×50</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tc>
      </w:tr>
      <w:tr w:rsidR="00B3676A" w:rsidTr="004A1DE7">
        <w:trPr>
          <w:trHeight w:val="3858"/>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lastRenderedPageBreak/>
              <w:t>2</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8F33B5">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技术指标3</w:t>
            </w:r>
            <w:r w:rsidR="008F33B5">
              <w:rPr>
                <w:rFonts w:asciiTheme="minorEastAsia" w:hAnsiTheme="minorEastAsia" w:cs="Segoe UI" w:hint="eastAsia"/>
                <w:color w:val="000000"/>
                <w:kern w:val="0"/>
                <w:sz w:val="24"/>
                <w:szCs w:val="24"/>
              </w:rPr>
              <w:t>9</w:t>
            </w:r>
            <w:r>
              <w:rPr>
                <w:rFonts w:asciiTheme="minorEastAsia" w:hAnsiTheme="minorEastAsia" w:cs="Segoe UI" w:hint="eastAsia"/>
                <w:color w:val="000000"/>
                <w:kern w:val="0"/>
                <w:sz w:val="24"/>
                <w:szCs w:val="24"/>
              </w:rPr>
              <w:t>%</w:t>
            </w:r>
          </w:p>
        </w:tc>
        <w:tc>
          <w:tcPr>
            <w:tcW w:w="7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8F33B5">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r w:rsidR="008F33B5">
              <w:rPr>
                <w:rFonts w:asciiTheme="minorEastAsia" w:hAnsiTheme="minorEastAsia" w:cs="Segoe UI" w:hint="eastAsia"/>
                <w:color w:val="000000"/>
                <w:kern w:val="0"/>
                <w:sz w:val="24"/>
                <w:szCs w:val="24"/>
              </w:rPr>
              <w:t>9</w:t>
            </w:r>
          </w:p>
        </w:tc>
        <w:tc>
          <w:tcPr>
            <w:tcW w:w="32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63492D">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投标产品的技术参数完全符合招标文件要求没有负偏离得3</w:t>
            </w:r>
            <w:r w:rsidR="008F33B5">
              <w:rPr>
                <w:rFonts w:asciiTheme="minorEastAsia" w:hAnsiTheme="minorEastAsia" w:cs="Segoe UI" w:hint="eastAsia"/>
                <w:color w:val="000000"/>
                <w:kern w:val="0"/>
                <w:sz w:val="24"/>
                <w:szCs w:val="24"/>
              </w:rPr>
              <w:t>9</w:t>
            </w:r>
            <w:r>
              <w:rPr>
                <w:rFonts w:asciiTheme="minorEastAsia" w:hAnsiTheme="minorEastAsia" w:cs="Segoe UI" w:hint="eastAsia"/>
                <w:color w:val="000000"/>
                <w:kern w:val="0"/>
                <w:sz w:val="24"/>
                <w:szCs w:val="24"/>
              </w:rPr>
              <w:t>分；非“</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”条款技术参数不满足招标文件要求（负偏离），一项扣</w:t>
            </w:r>
            <w:r w:rsidR="0063492D">
              <w:rPr>
                <w:rFonts w:asciiTheme="minorEastAsia" w:hAnsiTheme="minorEastAsia" w:cs="Segoe UI" w:hint="eastAsia"/>
                <w:color w:val="000000"/>
                <w:kern w:val="0"/>
                <w:sz w:val="24"/>
                <w:szCs w:val="24"/>
              </w:rPr>
              <w:t>3</w:t>
            </w:r>
            <w:r>
              <w:rPr>
                <w:rFonts w:asciiTheme="minorEastAsia" w:hAnsiTheme="minorEastAsia" w:cs="Segoe UI" w:hint="eastAsia"/>
                <w:color w:val="000000"/>
                <w:kern w:val="0"/>
                <w:sz w:val="24"/>
                <w:szCs w:val="24"/>
              </w:rPr>
              <w:t>分，“</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”条款技术参数与招标文件要求有负偏离的，一项扣</w:t>
            </w:r>
            <w:r w:rsidR="0063492D">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分；扣完为止。</w:t>
            </w:r>
          </w:p>
        </w:tc>
        <w:tc>
          <w:tcPr>
            <w:tcW w:w="3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 </w:t>
            </w:r>
            <w:r>
              <w:rPr>
                <w:rFonts w:asciiTheme="minorEastAsia" w:hAnsiTheme="minorEastAsia" w:cs="Segoe UI" w:hint="eastAsia"/>
                <w:color w:val="333333"/>
                <w:kern w:val="0"/>
                <w:sz w:val="24"/>
                <w:szCs w:val="24"/>
              </w:rPr>
              <w:t>投标人须提供技术支撑材料：1.如国家相关主管部门出具的</w:t>
            </w:r>
            <w:proofErr w:type="gramStart"/>
            <w:r>
              <w:rPr>
                <w:rFonts w:asciiTheme="minorEastAsia" w:hAnsiTheme="minorEastAsia" w:cs="Segoe UI" w:hint="eastAsia"/>
                <w:color w:val="333333"/>
                <w:kern w:val="0"/>
                <w:sz w:val="24"/>
                <w:szCs w:val="24"/>
              </w:rPr>
              <w:t>的</w:t>
            </w:r>
            <w:proofErr w:type="gramEnd"/>
            <w:r>
              <w:rPr>
                <w:rFonts w:asciiTheme="minorEastAsia" w:hAnsiTheme="minorEastAsia" w:cs="Segoe UI" w:hint="eastAsia"/>
                <w:color w:val="333333"/>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3676A" w:rsidTr="004A1DE7">
        <w:trPr>
          <w:trHeight w:val="976"/>
        </w:trPr>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8F33B5">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业绩</w:t>
            </w:r>
            <w:r w:rsidR="008F33B5">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w:t>
            </w:r>
          </w:p>
        </w:tc>
        <w:tc>
          <w:tcPr>
            <w:tcW w:w="7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8F33B5"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w:t>
            </w:r>
          </w:p>
        </w:tc>
        <w:tc>
          <w:tcPr>
            <w:tcW w:w="32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Pr="00741370" w:rsidRDefault="00B3676A" w:rsidP="002A62FC">
            <w:pPr>
              <w:widowControl/>
              <w:wordWrap w:val="0"/>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投标人需提供该产品2018年以来</w:t>
            </w:r>
            <w:r w:rsidR="002A62FC">
              <w:rPr>
                <w:rFonts w:asciiTheme="minorEastAsia" w:hAnsiTheme="minorEastAsia" w:cs="Segoe UI" w:hint="eastAsia"/>
                <w:kern w:val="0"/>
                <w:sz w:val="24"/>
                <w:szCs w:val="24"/>
              </w:rPr>
              <w:t>省</w:t>
            </w:r>
            <w:r w:rsidRPr="00741370">
              <w:rPr>
                <w:rFonts w:asciiTheme="minorEastAsia" w:hAnsiTheme="minorEastAsia" w:cs="Segoe UI" w:hint="eastAsia"/>
                <w:kern w:val="0"/>
                <w:sz w:val="24"/>
                <w:szCs w:val="24"/>
              </w:rPr>
              <w:t>内三甲医疗机构客户名单，每提供1家得1分，最多5分。</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提供中标通知书或送货发票或合同复印件。</w:t>
            </w:r>
          </w:p>
        </w:tc>
      </w:tr>
      <w:tr w:rsidR="00B3676A" w:rsidTr="004A1DE7">
        <w:trPr>
          <w:trHeight w:val="1457"/>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售后服务及培训5%</w:t>
            </w:r>
          </w:p>
        </w:tc>
        <w:tc>
          <w:tcPr>
            <w:tcW w:w="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ind w:left="-105" w:right="-107"/>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32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根据投标人承诺的质量保证范围，售后服务体系、人员培训计划、响应时间、产品彩页简介等进行综合分析比较评分，</w:t>
            </w:r>
            <w:proofErr w:type="gramStart"/>
            <w:r>
              <w:rPr>
                <w:rFonts w:asciiTheme="minorEastAsia" w:hAnsiTheme="minorEastAsia" w:cs="Segoe UI" w:hint="eastAsia"/>
                <w:color w:val="000000"/>
                <w:kern w:val="0"/>
                <w:sz w:val="24"/>
                <w:szCs w:val="24"/>
              </w:rPr>
              <w:t>最好得</w:t>
            </w:r>
            <w:proofErr w:type="gramEnd"/>
            <w:r>
              <w:rPr>
                <w:rFonts w:asciiTheme="minorEastAsia" w:hAnsiTheme="minorEastAsia" w:cs="Segoe UI" w:hint="eastAsia"/>
                <w:color w:val="000000"/>
                <w:kern w:val="0"/>
                <w:sz w:val="24"/>
                <w:szCs w:val="24"/>
              </w:rPr>
              <w:t>5分；一般得3分；差不得分。</w:t>
            </w:r>
          </w:p>
        </w:tc>
        <w:tc>
          <w:tcPr>
            <w:tcW w:w="3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p>
        </w:tc>
      </w:tr>
      <w:tr w:rsidR="00B3676A" w:rsidTr="00B3676A">
        <w:trPr>
          <w:trHeight w:val="122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投标文件的规范性1%</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投标文件制作规范，没有细微偏差情形的得1分；有一项细微偏差扣0.5分，直至该项分值扣完为止。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4A1DE7" w:rsidRDefault="004A1DE7"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4A1DE7" w:rsidRPr="008E1E35" w:rsidRDefault="004A1DE7"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lastRenderedPageBreak/>
              <w:t>国内三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108" w:type="dxa"/>
        <w:shd w:val="clear" w:color="auto" w:fill="FFFFFF"/>
        <w:tblCellMar>
          <w:left w:w="0" w:type="dxa"/>
          <w:right w:w="0" w:type="dxa"/>
        </w:tblCellMar>
        <w:tblLook w:val="04A0"/>
      </w:tblPr>
      <w:tblGrid>
        <w:gridCol w:w="456"/>
        <w:gridCol w:w="1072"/>
        <w:gridCol w:w="1307"/>
        <w:gridCol w:w="851"/>
        <w:gridCol w:w="1417"/>
        <w:gridCol w:w="851"/>
        <w:gridCol w:w="1417"/>
        <w:gridCol w:w="1043"/>
      </w:tblGrid>
      <w:tr w:rsidR="00E1317D" w:rsidRPr="008E1E35" w:rsidTr="00E1317D">
        <w:trPr>
          <w:trHeight w:val="73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Default="00E1317D"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3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E1317D">
        <w:trPr>
          <w:trHeight w:val="33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E1317D" w:rsidRPr="008E1E35" w:rsidTr="00E1317D">
        <w:trPr>
          <w:trHeight w:val="39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E1317D" w:rsidRPr="008E1E35" w:rsidTr="00E1317D">
        <w:trPr>
          <w:trHeight w:val="30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Pr="00DE770F"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5F5AC4" w:rsidP="00B3676A">
      <w:pPr>
        <w:widowControl/>
        <w:shd w:val="clear" w:color="auto" w:fill="FFFFFF"/>
        <w:wordWrap w:val="0"/>
        <w:ind w:leftChars="-405" w:left="-850"/>
        <w:jc w:val="left"/>
        <w:rPr>
          <w:rFonts w:ascii="微软雅黑" w:eastAsia="微软雅黑" w:hAnsi="微软雅黑" w:cs="Segoe UI" w:hint="eastAsia"/>
          <w:color w:val="333333"/>
          <w:kern w:val="0"/>
          <w:sz w:val="24"/>
          <w:szCs w:val="24"/>
        </w:rPr>
      </w:pP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7B" w:rsidRDefault="00C7687B" w:rsidP="009707C6">
      <w:r>
        <w:separator/>
      </w:r>
    </w:p>
  </w:endnote>
  <w:endnote w:type="continuationSeparator" w:id="0">
    <w:p w:rsidR="00C7687B" w:rsidRDefault="00C7687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7B" w:rsidRDefault="00C7687B" w:rsidP="009707C6">
      <w:r>
        <w:separator/>
      </w:r>
    </w:p>
  </w:footnote>
  <w:footnote w:type="continuationSeparator" w:id="0">
    <w:p w:rsidR="00C7687B" w:rsidRDefault="00C7687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5210B"/>
    <w:rsid w:val="00063CBF"/>
    <w:rsid w:val="0006460C"/>
    <w:rsid w:val="0007165F"/>
    <w:rsid w:val="00076447"/>
    <w:rsid w:val="000A62C9"/>
    <w:rsid w:val="000B16A7"/>
    <w:rsid w:val="000B33B6"/>
    <w:rsid w:val="000C6DE7"/>
    <w:rsid w:val="000D51C8"/>
    <w:rsid w:val="000D5C22"/>
    <w:rsid w:val="000F2C83"/>
    <w:rsid w:val="000F6C4B"/>
    <w:rsid w:val="00121958"/>
    <w:rsid w:val="0015585F"/>
    <w:rsid w:val="00155BC2"/>
    <w:rsid w:val="00162B49"/>
    <w:rsid w:val="00164168"/>
    <w:rsid w:val="001A45DB"/>
    <w:rsid w:val="001B0588"/>
    <w:rsid w:val="001F7BFA"/>
    <w:rsid w:val="002159C8"/>
    <w:rsid w:val="002235A9"/>
    <w:rsid w:val="002304B6"/>
    <w:rsid w:val="00241D90"/>
    <w:rsid w:val="0024392F"/>
    <w:rsid w:val="002458CC"/>
    <w:rsid w:val="00252A2B"/>
    <w:rsid w:val="00256247"/>
    <w:rsid w:val="002657E6"/>
    <w:rsid w:val="00277FFD"/>
    <w:rsid w:val="00281139"/>
    <w:rsid w:val="002960DF"/>
    <w:rsid w:val="002A62FC"/>
    <w:rsid w:val="002B3E93"/>
    <w:rsid w:val="002D24A3"/>
    <w:rsid w:val="002E7BA2"/>
    <w:rsid w:val="00302391"/>
    <w:rsid w:val="00316715"/>
    <w:rsid w:val="00316EEA"/>
    <w:rsid w:val="00320483"/>
    <w:rsid w:val="00332D2D"/>
    <w:rsid w:val="00336183"/>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7E04"/>
    <w:rsid w:val="004E0E8C"/>
    <w:rsid w:val="005023C7"/>
    <w:rsid w:val="00507FB6"/>
    <w:rsid w:val="00550E49"/>
    <w:rsid w:val="0059496F"/>
    <w:rsid w:val="005B3408"/>
    <w:rsid w:val="005D627E"/>
    <w:rsid w:val="005D6503"/>
    <w:rsid w:val="005E36E0"/>
    <w:rsid w:val="005F5AC4"/>
    <w:rsid w:val="006250B9"/>
    <w:rsid w:val="0063492D"/>
    <w:rsid w:val="00661D00"/>
    <w:rsid w:val="006A56E6"/>
    <w:rsid w:val="006A7032"/>
    <w:rsid w:val="006D2087"/>
    <w:rsid w:val="006E17CC"/>
    <w:rsid w:val="006E6BF8"/>
    <w:rsid w:val="006F4692"/>
    <w:rsid w:val="00741E5D"/>
    <w:rsid w:val="00742662"/>
    <w:rsid w:val="00750633"/>
    <w:rsid w:val="00751F96"/>
    <w:rsid w:val="0076295F"/>
    <w:rsid w:val="00770044"/>
    <w:rsid w:val="00786FE7"/>
    <w:rsid w:val="00791562"/>
    <w:rsid w:val="00796FF5"/>
    <w:rsid w:val="007A5851"/>
    <w:rsid w:val="007E11FD"/>
    <w:rsid w:val="008062CE"/>
    <w:rsid w:val="00811EB2"/>
    <w:rsid w:val="0082423B"/>
    <w:rsid w:val="0086528E"/>
    <w:rsid w:val="00874646"/>
    <w:rsid w:val="008822B5"/>
    <w:rsid w:val="008901D0"/>
    <w:rsid w:val="008B5574"/>
    <w:rsid w:val="008D1D02"/>
    <w:rsid w:val="008D3189"/>
    <w:rsid w:val="008E1E35"/>
    <w:rsid w:val="008F1F97"/>
    <w:rsid w:val="008F33B5"/>
    <w:rsid w:val="0090737B"/>
    <w:rsid w:val="00957EA6"/>
    <w:rsid w:val="009707C6"/>
    <w:rsid w:val="00983065"/>
    <w:rsid w:val="00984A3E"/>
    <w:rsid w:val="009C7A99"/>
    <w:rsid w:val="009E6749"/>
    <w:rsid w:val="00A03A46"/>
    <w:rsid w:val="00A40F3D"/>
    <w:rsid w:val="00A43AC7"/>
    <w:rsid w:val="00A53116"/>
    <w:rsid w:val="00A7660C"/>
    <w:rsid w:val="00AB088A"/>
    <w:rsid w:val="00AD55E2"/>
    <w:rsid w:val="00B20393"/>
    <w:rsid w:val="00B228A5"/>
    <w:rsid w:val="00B35C7B"/>
    <w:rsid w:val="00B3676A"/>
    <w:rsid w:val="00B51372"/>
    <w:rsid w:val="00B5786B"/>
    <w:rsid w:val="00B70FF7"/>
    <w:rsid w:val="00BA3D43"/>
    <w:rsid w:val="00BB0CDF"/>
    <w:rsid w:val="00C120B3"/>
    <w:rsid w:val="00C14414"/>
    <w:rsid w:val="00C276BD"/>
    <w:rsid w:val="00C37F08"/>
    <w:rsid w:val="00C50D05"/>
    <w:rsid w:val="00C7687B"/>
    <w:rsid w:val="00C86058"/>
    <w:rsid w:val="00C87403"/>
    <w:rsid w:val="00CC54C3"/>
    <w:rsid w:val="00CD4966"/>
    <w:rsid w:val="00D13C86"/>
    <w:rsid w:val="00D1796F"/>
    <w:rsid w:val="00D328AF"/>
    <w:rsid w:val="00D64722"/>
    <w:rsid w:val="00D649C7"/>
    <w:rsid w:val="00D73E00"/>
    <w:rsid w:val="00DA31F3"/>
    <w:rsid w:val="00DA7B43"/>
    <w:rsid w:val="00DD1D05"/>
    <w:rsid w:val="00DE770F"/>
    <w:rsid w:val="00DF55ED"/>
    <w:rsid w:val="00E1317D"/>
    <w:rsid w:val="00E509B1"/>
    <w:rsid w:val="00E85AF3"/>
    <w:rsid w:val="00EA4B19"/>
    <w:rsid w:val="00EA53C6"/>
    <w:rsid w:val="00EF0A5D"/>
    <w:rsid w:val="00EF7D43"/>
    <w:rsid w:val="00F0757B"/>
    <w:rsid w:val="00F65786"/>
    <w:rsid w:val="00F726DE"/>
    <w:rsid w:val="00F812A2"/>
    <w:rsid w:val="00FA5EAB"/>
    <w:rsid w:val="00FB0A1E"/>
    <w:rsid w:val="00FB78A5"/>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80</cp:revision>
  <dcterms:created xsi:type="dcterms:W3CDTF">2019-11-29T09:32:00Z</dcterms:created>
  <dcterms:modified xsi:type="dcterms:W3CDTF">2020-12-11T08:21:00Z</dcterms:modified>
</cp:coreProperties>
</file>