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协议酒店服务项目采购要求</w:t>
      </w:r>
    </w:p>
    <w:p>
      <w:pPr>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一、招标内容</w:t>
      </w:r>
    </w:p>
    <w:p>
      <w:pPr>
        <w:ind w:firstLine="640" w:firstLineChars="200"/>
        <w:rPr>
          <w:rFonts w:ascii="仿宋_GB2312" w:eastAsia="仿宋_GB2312"/>
          <w:sz w:val="32"/>
          <w:szCs w:val="32"/>
        </w:rPr>
      </w:pPr>
      <w:r>
        <w:rPr>
          <w:rFonts w:hint="eastAsia" w:ascii="仿宋_GB2312" w:eastAsia="仿宋_GB2312"/>
          <w:sz w:val="32"/>
          <w:szCs w:val="32"/>
        </w:rPr>
        <w:t>本次开展的协议酒店服务项目遴选为高档协议酒店3家、中档协议酒店5家，原则上潜在供应商应为四川省党政机关会议定点酒店中的服务商。</w:t>
      </w:r>
    </w:p>
    <w:p>
      <w:pPr>
        <w:ind w:firstLine="640" w:firstLineChars="200"/>
        <w:rPr>
          <w:rFonts w:ascii="黑体" w:hAnsi="黑体" w:eastAsia="黑体"/>
          <w:sz w:val="32"/>
          <w:szCs w:val="32"/>
        </w:rPr>
      </w:pPr>
      <w:r>
        <w:rPr>
          <w:rFonts w:hint="eastAsia" w:ascii="黑体" w:hAnsi="黑体" w:eastAsia="黑体"/>
          <w:sz w:val="32"/>
          <w:szCs w:val="32"/>
        </w:rPr>
        <w:t>二、服务要求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1.提供专人对接服务，以便处理异常，保证能24小时联系。投标文件中列出详细的人员名单，包括姓名、学历、职务、职称、从事专业及年限，并提供人员社保。 </w:t>
      </w:r>
    </w:p>
    <w:p>
      <w:pPr>
        <w:ind w:firstLine="640" w:firstLineChars="200"/>
        <w:rPr>
          <w:rFonts w:ascii="仿宋_GB2312" w:eastAsia="仿宋_GB2312"/>
          <w:sz w:val="32"/>
          <w:szCs w:val="32"/>
        </w:rPr>
      </w:pPr>
      <w:r>
        <w:rPr>
          <w:rFonts w:hint="eastAsia" w:ascii="仿宋_GB2312" w:eastAsia="仿宋_GB2312"/>
          <w:sz w:val="32"/>
          <w:szCs w:val="32"/>
        </w:rPr>
        <w:t>2.在酒店旺季，优先保证采购人的预定使用。</w:t>
      </w:r>
    </w:p>
    <w:p>
      <w:pPr>
        <w:ind w:firstLine="640" w:firstLineChars="200"/>
        <w:jc w:val="left"/>
        <w:rPr>
          <w:rFonts w:ascii="仿宋_GB2312" w:eastAsia="仿宋_GB2312"/>
          <w:sz w:val="32"/>
          <w:szCs w:val="32"/>
        </w:rPr>
      </w:pPr>
      <w:r>
        <w:rPr>
          <w:rFonts w:hint="eastAsia" w:ascii="仿宋_GB2312" w:eastAsia="仿宋_GB2312"/>
          <w:sz w:val="32"/>
          <w:szCs w:val="32"/>
        </w:rPr>
        <w:t>3.提供针对本次项目的详细服务方案，内容包括但不限于停车是否免费；退房时间限制等。</w:t>
      </w:r>
    </w:p>
    <w:p>
      <w:pPr>
        <w:ind w:firstLine="640" w:firstLineChars="200"/>
        <w:jc w:val="left"/>
        <w:rPr>
          <w:rFonts w:ascii="仿宋_GB2312" w:eastAsia="仿宋_GB2312"/>
          <w:sz w:val="32"/>
          <w:szCs w:val="32"/>
        </w:rPr>
      </w:pPr>
      <w:r>
        <w:rPr>
          <w:rFonts w:hint="eastAsia" w:ascii="仿宋_GB2312" w:eastAsia="仿宋_GB2312"/>
          <w:sz w:val="32"/>
          <w:szCs w:val="32"/>
        </w:rPr>
        <w:t>4.近三年内未在经营活动中发生重大违法和安全卫生事件。</w:t>
      </w:r>
    </w:p>
    <w:p>
      <w:pPr>
        <w:ind w:firstLine="640" w:firstLineChars="200"/>
        <w:jc w:val="left"/>
        <w:rPr>
          <w:rFonts w:ascii="仿宋_GB2312" w:eastAsia="仿宋_GB2312"/>
          <w:sz w:val="32"/>
          <w:szCs w:val="32"/>
        </w:rPr>
      </w:pPr>
      <w:r>
        <w:rPr>
          <w:rFonts w:hint="eastAsia" w:ascii="仿宋_GB2312" w:eastAsia="仿宋_GB2312"/>
          <w:sz w:val="32"/>
          <w:szCs w:val="32"/>
        </w:rPr>
        <w:t>5.有依法缴纳税收和社会保障资金的良好记录。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6.结算：通过公对公转账结算。</w:t>
      </w:r>
    </w:p>
    <w:p>
      <w:pPr>
        <w:ind w:firstLine="640" w:firstLineChars="200"/>
        <w:rPr>
          <w:rFonts w:ascii="仿宋_GB2312" w:eastAsia="仿宋_GB2312"/>
          <w:sz w:val="32"/>
          <w:szCs w:val="32"/>
        </w:rPr>
      </w:pPr>
      <w:r>
        <w:rPr>
          <w:rFonts w:hint="eastAsia" w:ascii="仿宋_GB2312" w:eastAsia="仿宋_GB2312"/>
          <w:sz w:val="32"/>
          <w:szCs w:val="32"/>
        </w:rPr>
        <w:t>7.服务期限：3年。</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jc w:val="left"/>
        <w:rPr>
          <w:rFonts w:hint="eastAsia"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附件2</w:t>
      </w:r>
    </w:p>
    <w:p>
      <w:pPr>
        <w:jc w:val="center"/>
        <w:rPr>
          <w:rFonts w:ascii="黑体" w:hAnsi="黑体" w:eastAsia="黑体"/>
          <w:sz w:val="44"/>
          <w:szCs w:val="44"/>
        </w:rPr>
      </w:pPr>
      <w:r>
        <w:rPr>
          <w:rFonts w:hint="eastAsia" w:ascii="黑体" w:hAnsi="黑体" w:eastAsia="黑体"/>
          <w:sz w:val="44"/>
          <w:szCs w:val="44"/>
        </w:rPr>
        <w:t>报价明细表</w:t>
      </w:r>
    </w:p>
    <w:p/>
    <w:p>
      <w:pPr>
        <w:widowControl/>
        <w:ind w:firstLine="560" w:firstLineChars="200"/>
        <w:jc w:val="left"/>
        <w:rPr>
          <w:rFonts w:ascii="黑体" w:hAnsi="黑体" w:eastAsia="黑体" w:cs="宋体"/>
          <w:sz w:val="28"/>
          <w:szCs w:val="28"/>
        </w:rPr>
      </w:pPr>
      <w:r>
        <w:rPr>
          <w:rFonts w:hint="eastAsia" w:ascii="黑体" w:hAnsi="黑体" w:eastAsia="黑体" w:cs="宋体"/>
          <w:sz w:val="28"/>
          <w:szCs w:val="28"/>
        </w:rPr>
        <w:t>一、房间报价明细表</w:t>
      </w:r>
    </w:p>
    <w:tbl>
      <w:tblPr>
        <w:tblStyle w:val="4"/>
        <w:tblW w:w="82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1"/>
        <w:gridCol w:w="1862"/>
        <w:gridCol w:w="1575"/>
        <w:gridCol w:w="1433"/>
        <w:gridCol w:w="1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1971" w:type="dxa"/>
            <w:vAlign w:val="center"/>
          </w:tcPr>
          <w:p>
            <w:pPr>
              <w:widowControl/>
              <w:jc w:val="center"/>
              <w:rPr>
                <w:rFonts w:ascii="黑体" w:hAnsi="黑体" w:eastAsia="黑体" w:cs="宋体"/>
                <w:sz w:val="24"/>
                <w:szCs w:val="24"/>
              </w:rPr>
            </w:pPr>
            <w:r>
              <w:rPr>
                <w:rFonts w:ascii="黑体" w:hAnsi="黑体" w:eastAsia="黑体" w:cs="宋体"/>
                <w:sz w:val="24"/>
                <w:szCs w:val="24"/>
              </w:rPr>
              <w:t>房型</w:t>
            </w:r>
          </w:p>
        </w:tc>
        <w:tc>
          <w:tcPr>
            <w:tcW w:w="1862" w:type="dxa"/>
            <w:vAlign w:val="center"/>
          </w:tcPr>
          <w:p>
            <w:pPr>
              <w:widowControl/>
              <w:jc w:val="center"/>
              <w:rPr>
                <w:rFonts w:ascii="黑体" w:hAnsi="黑体" w:eastAsia="黑体" w:cs="宋体"/>
                <w:sz w:val="24"/>
                <w:szCs w:val="24"/>
              </w:rPr>
            </w:pPr>
            <w:r>
              <w:rPr>
                <w:rFonts w:ascii="黑体" w:hAnsi="黑体" w:eastAsia="黑体" w:cs="宋体"/>
                <w:sz w:val="24"/>
                <w:szCs w:val="24"/>
              </w:rPr>
              <w:t>房间总数</w:t>
            </w:r>
          </w:p>
        </w:tc>
        <w:tc>
          <w:tcPr>
            <w:tcW w:w="1575" w:type="dxa"/>
            <w:vAlign w:val="center"/>
          </w:tcPr>
          <w:p>
            <w:pPr>
              <w:widowControl/>
              <w:jc w:val="center"/>
              <w:rPr>
                <w:rFonts w:ascii="黑体" w:hAnsi="黑体" w:eastAsia="黑体" w:cs="宋体"/>
                <w:sz w:val="24"/>
                <w:szCs w:val="24"/>
              </w:rPr>
            </w:pPr>
            <w:r>
              <w:rPr>
                <w:rFonts w:ascii="黑体" w:hAnsi="黑体" w:eastAsia="黑体" w:cs="宋体"/>
                <w:sz w:val="24"/>
                <w:szCs w:val="24"/>
              </w:rPr>
              <w:t>挂牌价</w:t>
            </w:r>
          </w:p>
          <w:p>
            <w:pPr>
              <w:widowControl/>
              <w:jc w:val="center"/>
              <w:rPr>
                <w:rFonts w:ascii="黑体" w:hAnsi="黑体" w:eastAsia="黑体" w:cs="宋体"/>
                <w:sz w:val="24"/>
                <w:szCs w:val="24"/>
              </w:rPr>
            </w:pPr>
            <w:r>
              <w:rPr>
                <w:rFonts w:hint="eastAsia" w:ascii="黑体" w:hAnsi="黑体" w:eastAsia="黑体" w:cs="宋体"/>
                <w:sz w:val="24"/>
                <w:szCs w:val="24"/>
              </w:rPr>
              <w:t>（元/间/天）</w:t>
            </w:r>
          </w:p>
        </w:tc>
        <w:tc>
          <w:tcPr>
            <w:tcW w:w="1433" w:type="dxa"/>
            <w:vAlign w:val="center"/>
          </w:tcPr>
          <w:p>
            <w:pPr>
              <w:widowControl/>
              <w:jc w:val="center"/>
              <w:rPr>
                <w:rFonts w:ascii="黑体" w:hAnsi="黑体" w:eastAsia="黑体" w:cs="宋体"/>
                <w:sz w:val="24"/>
                <w:szCs w:val="24"/>
              </w:rPr>
            </w:pPr>
            <w:r>
              <w:rPr>
                <w:rFonts w:ascii="黑体" w:hAnsi="黑体" w:eastAsia="黑体" w:cs="宋体"/>
                <w:sz w:val="24"/>
                <w:szCs w:val="24"/>
              </w:rPr>
              <w:t>折扣</w:t>
            </w:r>
            <w:r>
              <w:rPr>
                <w:rFonts w:hint="eastAsia" w:ascii="黑体" w:hAnsi="黑体" w:eastAsia="黑体" w:cs="宋体"/>
                <w:sz w:val="24"/>
                <w:szCs w:val="24"/>
              </w:rPr>
              <w:t>率</w:t>
            </w:r>
          </w:p>
          <w:p>
            <w:pPr>
              <w:widowControl/>
              <w:jc w:val="center"/>
              <w:rPr>
                <w:rFonts w:ascii="黑体" w:hAnsi="黑体" w:eastAsia="黑体" w:cs="宋体"/>
                <w:sz w:val="24"/>
                <w:szCs w:val="24"/>
              </w:rPr>
            </w:pPr>
            <w:r>
              <w:rPr>
                <w:rFonts w:hint="eastAsia" w:ascii="黑体" w:hAnsi="黑体" w:eastAsia="黑体" w:cs="宋体"/>
                <w:sz w:val="24"/>
                <w:szCs w:val="24"/>
              </w:rPr>
              <w:t>（间/天）</w:t>
            </w:r>
          </w:p>
        </w:tc>
        <w:tc>
          <w:tcPr>
            <w:tcW w:w="1432" w:type="dxa"/>
            <w:vAlign w:val="center"/>
          </w:tcPr>
          <w:p>
            <w:pPr>
              <w:widowControl/>
              <w:jc w:val="center"/>
              <w:rPr>
                <w:rFonts w:ascii="黑体" w:hAnsi="黑体" w:eastAsia="黑体" w:cs="宋体"/>
                <w:sz w:val="24"/>
                <w:szCs w:val="24"/>
              </w:rPr>
            </w:pPr>
            <w:r>
              <w:rPr>
                <w:rFonts w:ascii="黑体" w:hAnsi="黑体" w:eastAsia="黑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971" w:type="dxa"/>
            <w:vAlign w:val="center"/>
          </w:tcPr>
          <w:p>
            <w:pPr>
              <w:widowControl/>
              <w:jc w:val="center"/>
              <w:rPr>
                <w:rFonts w:hAnsi="宋体" w:cs="宋体"/>
                <w:sz w:val="24"/>
                <w:szCs w:val="24"/>
              </w:rPr>
            </w:pPr>
            <w:r>
              <w:rPr>
                <w:rFonts w:hint="eastAsia" w:hAnsi="宋体" w:cs="宋体"/>
                <w:sz w:val="24"/>
                <w:szCs w:val="24"/>
              </w:rPr>
              <w:t>豪华</w:t>
            </w:r>
            <w:r>
              <w:rPr>
                <w:rFonts w:hAnsi="宋体" w:cs="宋体"/>
                <w:sz w:val="24"/>
                <w:szCs w:val="24"/>
              </w:rPr>
              <w:t>标间</w:t>
            </w:r>
          </w:p>
        </w:tc>
        <w:tc>
          <w:tcPr>
            <w:tcW w:w="1862" w:type="dxa"/>
            <w:vAlign w:val="center"/>
          </w:tcPr>
          <w:p>
            <w:pPr>
              <w:widowControl/>
              <w:jc w:val="center"/>
              <w:rPr>
                <w:rFonts w:hAnsi="宋体" w:cs="宋体"/>
                <w:sz w:val="24"/>
                <w:szCs w:val="24"/>
              </w:rPr>
            </w:pPr>
          </w:p>
        </w:tc>
        <w:tc>
          <w:tcPr>
            <w:tcW w:w="1575" w:type="dxa"/>
            <w:vAlign w:val="center"/>
          </w:tcPr>
          <w:p>
            <w:pPr>
              <w:widowControl/>
              <w:jc w:val="center"/>
              <w:rPr>
                <w:rFonts w:hAnsi="宋体" w:cs="宋体"/>
                <w:sz w:val="24"/>
                <w:szCs w:val="24"/>
              </w:rPr>
            </w:pPr>
          </w:p>
        </w:tc>
        <w:tc>
          <w:tcPr>
            <w:tcW w:w="1433" w:type="dxa"/>
            <w:vAlign w:val="center"/>
          </w:tcPr>
          <w:p>
            <w:pPr>
              <w:widowControl/>
              <w:jc w:val="center"/>
              <w:rPr>
                <w:rFonts w:hAnsi="宋体" w:cs="宋体"/>
                <w:sz w:val="24"/>
                <w:szCs w:val="24"/>
              </w:rPr>
            </w:pPr>
          </w:p>
        </w:tc>
        <w:tc>
          <w:tcPr>
            <w:tcW w:w="1432" w:type="dxa"/>
            <w:vAlign w:val="center"/>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971" w:type="dxa"/>
            <w:vAlign w:val="center"/>
          </w:tcPr>
          <w:p>
            <w:pPr>
              <w:widowControl/>
              <w:jc w:val="center"/>
              <w:rPr>
                <w:rFonts w:hAnsi="宋体"/>
                <w:sz w:val="24"/>
                <w:szCs w:val="24"/>
              </w:rPr>
            </w:pPr>
            <w:r>
              <w:rPr>
                <w:rFonts w:hint="eastAsia" w:hAnsi="宋体"/>
                <w:sz w:val="24"/>
                <w:szCs w:val="24"/>
              </w:rPr>
              <w:t>豪华单间</w:t>
            </w:r>
          </w:p>
        </w:tc>
        <w:tc>
          <w:tcPr>
            <w:tcW w:w="1862" w:type="dxa"/>
            <w:vAlign w:val="center"/>
          </w:tcPr>
          <w:p>
            <w:pPr>
              <w:widowControl/>
              <w:jc w:val="center"/>
              <w:rPr>
                <w:rFonts w:hAnsi="宋体" w:cs="宋体"/>
                <w:sz w:val="24"/>
                <w:szCs w:val="24"/>
              </w:rPr>
            </w:pPr>
          </w:p>
        </w:tc>
        <w:tc>
          <w:tcPr>
            <w:tcW w:w="1575" w:type="dxa"/>
            <w:vAlign w:val="center"/>
          </w:tcPr>
          <w:p>
            <w:pPr>
              <w:widowControl/>
              <w:jc w:val="center"/>
              <w:rPr>
                <w:rFonts w:hAnsi="宋体" w:cs="宋体"/>
                <w:sz w:val="24"/>
                <w:szCs w:val="24"/>
              </w:rPr>
            </w:pPr>
          </w:p>
        </w:tc>
        <w:tc>
          <w:tcPr>
            <w:tcW w:w="1433" w:type="dxa"/>
            <w:vAlign w:val="center"/>
          </w:tcPr>
          <w:p>
            <w:pPr>
              <w:widowControl/>
              <w:jc w:val="center"/>
              <w:rPr>
                <w:rFonts w:hAnsi="宋体" w:cs="宋体"/>
                <w:sz w:val="24"/>
                <w:szCs w:val="24"/>
              </w:rPr>
            </w:pPr>
          </w:p>
        </w:tc>
        <w:tc>
          <w:tcPr>
            <w:tcW w:w="1432" w:type="dxa"/>
            <w:vAlign w:val="center"/>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1971" w:type="dxa"/>
            <w:vAlign w:val="center"/>
          </w:tcPr>
          <w:p>
            <w:pPr>
              <w:widowControl/>
              <w:jc w:val="center"/>
              <w:rPr>
                <w:rFonts w:hAnsi="宋体" w:cs="宋体"/>
                <w:sz w:val="24"/>
                <w:szCs w:val="24"/>
              </w:rPr>
            </w:pPr>
            <w:r>
              <w:rPr>
                <w:rFonts w:hAnsi="宋体" w:cs="宋体"/>
                <w:sz w:val="24"/>
                <w:szCs w:val="24"/>
              </w:rPr>
              <w:t>标准间</w:t>
            </w:r>
          </w:p>
        </w:tc>
        <w:tc>
          <w:tcPr>
            <w:tcW w:w="1862" w:type="dxa"/>
            <w:vAlign w:val="center"/>
          </w:tcPr>
          <w:p>
            <w:pPr>
              <w:widowControl/>
              <w:jc w:val="center"/>
              <w:rPr>
                <w:rFonts w:hAnsi="宋体" w:cs="宋体"/>
                <w:sz w:val="24"/>
                <w:szCs w:val="24"/>
              </w:rPr>
            </w:pPr>
          </w:p>
        </w:tc>
        <w:tc>
          <w:tcPr>
            <w:tcW w:w="1575" w:type="dxa"/>
            <w:vAlign w:val="center"/>
          </w:tcPr>
          <w:p>
            <w:pPr>
              <w:widowControl/>
              <w:jc w:val="center"/>
              <w:rPr>
                <w:rFonts w:hAnsi="宋体" w:cs="宋体"/>
                <w:sz w:val="24"/>
                <w:szCs w:val="24"/>
              </w:rPr>
            </w:pPr>
          </w:p>
        </w:tc>
        <w:tc>
          <w:tcPr>
            <w:tcW w:w="1433" w:type="dxa"/>
            <w:vAlign w:val="center"/>
          </w:tcPr>
          <w:p>
            <w:pPr>
              <w:widowControl/>
              <w:jc w:val="center"/>
              <w:rPr>
                <w:rFonts w:hAnsi="宋体" w:cs="宋体"/>
                <w:sz w:val="24"/>
                <w:szCs w:val="24"/>
              </w:rPr>
            </w:pPr>
          </w:p>
        </w:tc>
        <w:tc>
          <w:tcPr>
            <w:tcW w:w="1432" w:type="dxa"/>
            <w:vAlign w:val="center"/>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971" w:type="dxa"/>
            <w:vAlign w:val="center"/>
          </w:tcPr>
          <w:p>
            <w:pPr>
              <w:widowControl/>
              <w:jc w:val="center"/>
              <w:rPr>
                <w:rFonts w:hAnsi="宋体" w:cs="宋体"/>
                <w:sz w:val="24"/>
                <w:szCs w:val="24"/>
              </w:rPr>
            </w:pPr>
            <w:r>
              <w:rPr>
                <w:rFonts w:hAnsi="宋体" w:cs="宋体"/>
                <w:sz w:val="24"/>
                <w:szCs w:val="24"/>
              </w:rPr>
              <w:t>单人间</w:t>
            </w:r>
          </w:p>
        </w:tc>
        <w:tc>
          <w:tcPr>
            <w:tcW w:w="1862" w:type="dxa"/>
            <w:vAlign w:val="center"/>
          </w:tcPr>
          <w:p>
            <w:pPr>
              <w:widowControl/>
              <w:jc w:val="center"/>
              <w:rPr>
                <w:rFonts w:hAnsi="宋体" w:cs="宋体"/>
                <w:sz w:val="24"/>
                <w:szCs w:val="24"/>
              </w:rPr>
            </w:pPr>
          </w:p>
        </w:tc>
        <w:tc>
          <w:tcPr>
            <w:tcW w:w="1575" w:type="dxa"/>
            <w:vAlign w:val="center"/>
          </w:tcPr>
          <w:p>
            <w:pPr>
              <w:widowControl/>
              <w:jc w:val="center"/>
              <w:rPr>
                <w:rFonts w:hAnsi="宋体" w:cs="宋体"/>
                <w:sz w:val="24"/>
                <w:szCs w:val="24"/>
              </w:rPr>
            </w:pPr>
          </w:p>
        </w:tc>
        <w:tc>
          <w:tcPr>
            <w:tcW w:w="1433" w:type="dxa"/>
            <w:vAlign w:val="center"/>
          </w:tcPr>
          <w:p>
            <w:pPr>
              <w:widowControl/>
              <w:jc w:val="center"/>
              <w:rPr>
                <w:rFonts w:hAnsi="宋体" w:cs="宋体"/>
                <w:sz w:val="24"/>
                <w:szCs w:val="24"/>
              </w:rPr>
            </w:pPr>
          </w:p>
        </w:tc>
        <w:tc>
          <w:tcPr>
            <w:tcW w:w="1432" w:type="dxa"/>
            <w:vAlign w:val="center"/>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971" w:type="dxa"/>
            <w:vAlign w:val="center"/>
          </w:tcPr>
          <w:p>
            <w:pPr>
              <w:spacing w:line="400" w:lineRule="exact"/>
              <w:jc w:val="center"/>
              <w:rPr>
                <w:rFonts w:hAnsi="宋体"/>
                <w:sz w:val="24"/>
                <w:szCs w:val="24"/>
              </w:rPr>
            </w:pPr>
            <w:r>
              <w:rPr>
                <w:rFonts w:hAnsi="宋体"/>
                <w:sz w:val="24"/>
                <w:szCs w:val="24"/>
              </w:rPr>
              <w:t>午休房</w:t>
            </w:r>
          </w:p>
        </w:tc>
        <w:tc>
          <w:tcPr>
            <w:tcW w:w="1862" w:type="dxa"/>
            <w:vAlign w:val="center"/>
          </w:tcPr>
          <w:p>
            <w:pPr>
              <w:widowControl/>
              <w:jc w:val="center"/>
              <w:rPr>
                <w:rFonts w:hAnsi="宋体" w:cs="宋体"/>
                <w:sz w:val="24"/>
                <w:szCs w:val="24"/>
              </w:rPr>
            </w:pPr>
          </w:p>
        </w:tc>
        <w:tc>
          <w:tcPr>
            <w:tcW w:w="1575" w:type="dxa"/>
            <w:vAlign w:val="center"/>
          </w:tcPr>
          <w:p>
            <w:pPr>
              <w:widowControl/>
              <w:jc w:val="center"/>
              <w:rPr>
                <w:rFonts w:hAnsi="宋体" w:cs="宋体"/>
                <w:sz w:val="24"/>
                <w:szCs w:val="24"/>
              </w:rPr>
            </w:pPr>
          </w:p>
        </w:tc>
        <w:tc>
          <w:tcPr>
            <w:tcW w:w="1433" w:type="dxa"/>
            <w:vAlign w:val="center"/>
          </w:tcPr>
          <w:p>
            <w:pPr>
              <w:widowControl/>
              <w:jc w:val="center"/>
              <w:rPr>
                <w:rFonts w:hAnsi="宋体" w:cs="宋体"/>
                <w:sz w:val="24"/>
                <w:szCs w:val="24"/>
              </w:rPr>
            </w:pPr>
          </w:p>
        </w:tc>
        <w:tc>
          <w:tcPr>
            <w:tcW w:w="1432" w:type="dxa"/>
            <w:vAlign w:val="center"/>
          </w:tcPr>
          <w:p>
            <w:pPr>
              <w:widowControl/>
              <w:jc w:val="center"/>
              <w:rPr>
                <w:rFonts w:hAnsi="宋体" w:cs="宋体"/>
                <w:sz w:val="24"/>
                <w:szCs w:val="24"/>
              </w:rPr>
            </w:pPr>
          </w:p>
        </w:tc>
      </w:tr>
    </w:tbl>
    <w:p>
      <w:pPr>
        <w:adjustRightInd w:val="0"/>
        <w:spacing w:line="400" w:lineRule="exact"/>
        <w:ind w:firstLine="240" w:firstLineChars="100"/>
        <w:jc w:val="left"/>
        <w:rPr>
          <w:rFonts w:ascii="楷体" w:hAnsi="楷体" w:eastAsia="楷体"/>
          <w:sz w:val="24"/>
          <w:szCs w:val="24"/>
        </w:rPr>
      </w:pPr>
      <w:r>
        <w:rPr>
          <w:rFonts w:hint="eastAsia" w:ascii="楷体" w:hAnsi="楷体" w:eastAsia="楷体"/>
          <w:sz w:val="24"/>
          <w:szCs w:val="24"/>
        </w:rPr>
        <w:t>注: 1</w:t>
      </w:r>
      <w:r>
        <w:rPr>
          <w:rFonts w:ascii="楷体" w:hAnsi="楷体" w:eastAsia="楷体"/>
          <w:sz w:val="24"/>
          <w:szCs w:val="24"/>
        </w:rPr>
        <w:t>.</w:t>
      </w:r>
      <w:r>
        <w:rPr>
          <w:rFonts w:hint="eastAsia" w:ascii="楷体" w:hAnsi="楷体" w:eastAsia="楷体"/>
          <w:sz w:val="24"/>
          <w:szCs w:val="24"/>
        </w:rPr>
        <w:t>此报价中某种房间类别有多种报价，应在上表中逐个列明，并在备注中说明差异。</w:t>
      </w:r>
    </w:p>
    <w:p>
      <w:pPr>
        <w:adjustRightInd w:val="0"/>
        <w:spacing w:line="400" w:lineRule="exact"/>
        <w:ind w:firstLine="600" w:firstLineChars="250"/>
        <w:jc w:val="left"/>
        <w:rPr>
          <w:rFonts w:ascii="楷体" w:hAnsi="楷体" w:eastAsia="楷体"/>
          <w:sz w:val="24"/>
          <w:szCs w:val="24"/>
        </w:rPr>
      </w:pPr>
      <w:r>
        <w:rPr>
          <w:rFonts w:hint="eastAsia" w:ascii="楷体" w:hAnsi="楷体" w:eastAsia="楷体"/>
          <w:sz w:val="24"/>
          <w:szCs w:val="24"/>
        </w:rPr>
        <w:t>2.投标人应在备注中注明双人早餐价的价格。</w:t>
      </w:r>
    </w:p>
    <w:p>
      <w:pPr>
        <w:adjustRightInd w:val="0"/>
        <w:spacing w:line="400" w:lineRule="exact"/>
        <w:ind w:firstLine="600" w:firstLineChars="250"/>
        <w:jc w:val="left"/>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挂牌价乘以折扣率为投标价，不得再加收其他费用；</w:t>
      </w:r>
    </w:p>
    <w:p>
      <w:pPr>
        <w:adjustRightInd w:val="0"/>
        <w:spacing w:line="400" w:lineRule="exact"/>
        <w:ind w:firstLine="600" w:firstLineChars="250"/>
        <w:jc w:val="left"/>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各投标人在填报时，要根据自己的情况，分别将房间的特殊配置在备注栏中加以注明。以上表格不够可增加。</w:t>
      </w:r>
    </w:p>
    <w:p>
      <w:pPr>
        <w:adjustRightInd w:val="0"/>
        <w:spacing w:line="400" w:lineRule="exact"/>
        <w:ind w:firstLine="600" w:firstLineChars="250"/>
        <w:jc w:val="left"/>
        <w:rPr>
          <w:rFonts w:hint="eastAsia" w:ascii="楷体" w:hAnsi="楷体" w:eastAsia="楷体"/>
          <w:sz w:val="24"/>
          <w:szCs w:val="24"/>
        </w:rPr>
      </w:pPr>
    </w:p>
    <w:p>
      <w:pPr>
        <w:widowControl/>
        <w:ind w:firstLine="560" w:firstLineChars="200"/>
        <w:jc w:val="left"/>
        <w:rPr>
          <w:rFonts w:ascii="黑体" w:hAnsi="黑体" w:eastAsia="黑体" w:cs="宋体"/>
          <w:bCs/>
          <w:sz w:val="28"/>
          <w:szCs w:val="28"/>
        </w:rPr>
      </w:pPr>
      <w:r>
        <w:rPr>
          <w:rFonts w:hint="eastAsia" w:ascii="黑体" w:hAnsi="黑体" w:eastAsia="黑体" w:cs="宋体"/>
          <w:bCs/>
          <w:sz w:val="28"/>
          <w:szCs w:val="28"/>
        </w:rPr>
        <w:t>二、会议室报价明细表</w:t>
      </w:r>
    </w:p>
    <w:tbl>
      <w:tblPr>
        <w:tblStyle w:val="4"/>
        <w:tblW w:w="8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081"/>
        <w:gridCol w:w="1275"/>
        <w:gridCol w:w="1267"/>
        <w:gridCol w:w="1147"/>
        <w:gridCol w:w="1147"/>
        <w:gridCol w:w="1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276" w:type="dxa"/>
            <w:vAlign w:val="center"/>
          </w:tcPr>
          <w:p>
            <w:pPr>
              <w:widowControl/>
              <w:spacing w:line="280" w:lineRule="exact"/>
              <w:jc w:val="center"/>
              <w:rPr>
                <w:rFonts w:ascii="黑体" w:hAnsi="黑体" w:eastAsia="黑体" w:cs="宋体"/>
                <w:sz w:val="24"/>
                <w:szCs w:val="24"/>
              </w:rPr>
            </w:pPr>
            <w:r>
              <w:rPr>
                <w:rFonts w:ascii="黑体" w:hAnsi="黑体" w:eastAsia="黑体" w:cs="宋体"/>
                <w:sz w:val="24"/>
                <w:szCs w:val="24"/>
              </w:rPr>
              <w:t>会议室类型</w:t>
            </w:r>
          </w:p>
        </w:tc>
        <w:tc>
          <w:tcPr>
            <w:tcW w:w="1081" w:type="dxa"/>
            <w:vAlign w:val="center"/>
          </w:tcPr>
          <w:p>
            <w:pPr>
              <w:widowControl/>
              <w:spacing w:line="280" w:lineRule="exact"/>
              <w:jc w:val="center"/>
              <w:rPr>
                <w:rFonts w:ascii="黑体" w:hAnsi="黑体" w:eastAsia="黑体" w:cs="宋体"/>
                <w:sz w:val="24"/>
                <w:szCs w:val="24"/>
              </w:rPr>
            </w:pPr>
            <w:r>
              <w:rPr>
                <w:rFonts w:hint="eastAsia" w:ascii="黑体" w:hAnsi="黑体" w:eastAsia="黑体" w:cs="宋体"/>
                <w:sz w:val="24"/>
                <w:szCs w:val="24"/>
              </w:rPr>
              <w:t>容纳</w:t>
            </w:r>
          </w:p>
          <w:p>
            <w:pPr>
              <w:widowControl/>
              <w:spacing w:line="280" w:lineRule="exact"/>
              <w:jc w:val="center"/>
              <w:rPr>
                <w:rFonts w:ascii="黑体" w:hAnsi="黑体" w:eastAsia="黑体" w:cs="宋体"/>
                <w:sz w:val="24"/>
                <w:szCs w:val="24"/>
              </w:rPr>
            </w:pPr>
            <w:r>
              <w:rPr>
                <w:rFonts w:hint="eastAsia" w:ascii="黑体" w:hAnsi="黑体" w:eastAsia="黑体" w:cs="宋体"/>
                <w:sz w:val="24"/>
                <w:szCs w:val="24"/>
              </w:rPr>
              <w:t>人数</w:t>
            </w:r>
          </w:p>
        </w:tc>
        <w:tc>
          <w:tcPr>
            <w:tcW w:w="1275" w:type="dxa"/>
            <w:vAlign w:val="center"/>
          </w:tcPr>
          <w:p>
            <w:pPr>
              <w:widowControl/>
              <w:spacing w:line="280" w:lineRule="exact"/>
              <w:jc w:val="center"/>
              <w:rPr>
                <w:rFonts w:ascii="黑体" w:hAnsi="黑体" w:eastAsia="黑体" w:cs="宋体"/>
                <w:sz w:val="24"/>
                <w:szCs w:val="24"/>
              </w:rPr>
            </w:pPr>
            <w:r>
              <w:rPr>
                <w:rFonts w:ascii="黑体" w:hAnsi="黑体" w:eastAsia="黑体" w:cs="宋体"/>
                <w:sz w:val="24"/>
                <w:szCs w:val="24"/>
              </w:rPr>
              <w:t>挂牌价</w:t>
            </w:r>
            <w:r>
              <w:rPr>
                <w:rFonts w:hint="eastAsia" w:ascii="黑体" w:hAnsi="黑体" w:eastAsia="黑体" w:cs="宋体"/>
                <w:sz w:val="24"/>
                <w:szCs w:val="24"/>
              </w:rPr>
              <w:t>（元/间/天）</w:t>
            </w:r>
          </w:p>
        </w:tc>
        <w:tc>
          <w:tcPr>
            <w:tcW w:w="1267" w:type="dxa"/>
            <w:vAlign w:val="center"/>
          </w:tcPr>
          <w:p>
            <w:pPr>
              <w:widowControl/>
              <w:spacing w:line="280" w:lineRule="exact"/>
              <w:jc w:val="center"/>
              <w:rPr>
                <w:rFonts w:ascii="黑体" w:hAnsi="黑体" w:eastAsia="黑体" w:cs="宋体"/>
                <w:sz w:val="24"/>
                <w:szCs w:val="24"/>
              </w:rPr>
            </w:pPr>
            <w:r>
              <w:rPr>
                <w:rFonts w:ascii="黑体" w:hAnsi="黑体" w:eastAsia="黑体" w:cs="宋体"/>
                <w:sz w:val="24"/>
                <w:szCs w:val="24"/>
              </w:rPr>
              <w:t>挂牌价</w:t>
            </w:r>
            <w:r>
              <w:rPr>
                <w:rFonts w:hint="eastAsia" w:ascii="黑体" w:hAnsi="黑体" w:eastAsia="黑体" w:cs="宋体"/>
                <w:sz w:val="24"/>
                <w:szCs w:val="24"/>
              </w:rPr>
              <w:t>（元/间/半天）</w:t>
            </w:r>
          </w:p>
        </w:tc>
        <w:tc>
          <w:tcPr>
            <w:tcW w:w="1147" w:type="dxa"/>
            <w:vAlign w:val="center"/>
          </w:tcPr>
          <w:p>
            <w:pPr>
              <w:widowControl/>
              <w:spacing w:line="280" w:lineRule="exact"/>
              <w:jc w:val="center"/>
              <w:rPr>
                <w:rFonts w:ascii="黑体" w:hAnsi="黑体" w:eastAsia="黑体" w:cs="宋体"/>
                <w:sz w:val="24"/>
                <w:szCs w:val="24"/>
              </w:rPr>
            </w:pPr>
            <w:r>
              <w:rPr>
                <w:rFonts w:ascii="黑体" w:hAnsi="黑体" w:eastAsia="黑体" w:cs="宋体"/>
                <w:sz w:val="24"/>
                <w:szCs w:val="24"/>
              </w:rPr>
              <w:t>折扣</w:t>
            </w:r>
            <w:r>
              <w:rPr>
                <w:rFonts w:hint="eastAsia" w:ascii="黑体" w:hAnsi="黑体" w:eastAsia="黑体" w:cs="宋体"/>
                <w:sz w:val="24"/>
                <w:szCs w:val="24"/>
              </w:rPr>
              <w:t>率（间/天）</w:t>
            </w:r>
          </w:p>
        </w:tc>
        <w:tc>
          <w:tcPr>
            <w:tcW w:w="1147" w:type="dxa"/>
            <w:vAlign w:val="center"/>
          </w:tcPr>
          <w:p>
            <w:pPr>
              <w:widowControl/>
              <w:spacing w:line="280" w:lineRule="exact"/>
              <w:jc w:val="center"/>
              <w:rPr>
                <w:rFonts w:ascii="黑体" w:hAnsi="黑体" w:eastAsia="黑体" w:cs="宋体"/>
                <w:sz w:val="24"/>
                <w:szCs w:val="24"/>
              </w:rPr>
            </w:pPr>
            <w:r>
              <w:rPr>
                <w:rFonts w:ascii="黑体" w:hAnsi="黑体" w:eastAsia="黑体" w:cs="宋体"/>
                <w:sz w:val="24"/>
                <w:szCs w:val="24"/>
              </w:rPr>
              <w:t>折扣</w:t>
            </w:r>
            <w:r>
              <w:rPr>
                <w:rFonts w:hint="eastAsia" w:ascii="黑体" w:hAnsi="黑体" w:eastAsia="黑体" w:cs="宋体"/>
                <w:sz w:val="24"/>
                <w:szCs w:val="24"/>
              </w:rPr>
              <w:t>率（间/半天）</w:t>
            </w:r>
          </w:p>
        </w:tc>
        <w:tc>
          <w:tcPr>
            <w:tcW w:w="1147" w:type="dxa"/>
            <w:vAlign w:val="center"/>
          </w:tcPr>
          <w:p>
            <w:pPr>
              <w:widowControl/>
              <w:spacing w:line="280" w:lineRule="exact"/>
              <w:jc w:val="center"/>
              <w:rPr>
                <w:rFonts w:ascii="黑体" w:hAnsi="黑体" w:eastAsia="黑体" w:cs="宋体"/>
                <w:sz w:val="24"/>
                <w:szCs w:val="24"/>
              </w:rPr>
            </w:pPr>
            <w:r>
              <w:rPr>
                <w:rFonts w:hint="eastAsia" w:ascii="黑体" w:hAnsi="黑体" w:eastAsia="黑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276" w:type="dxa"/>
            <w:vMerge w:val="restart"/>
            <w:vAlign w:val="center"/>
          </w:tcPr>
          <w:p>
            <w:pPr>
              <w:widowControl/>
              <w:jc w:val="center"/>
              <w:rPr>
                <w:rFonts w:ascii="仿宋_GB2312" w:hAnsi="宋体" w:eastAsia="仿宋_GB2312" w:cs="宋体"/>
                <w:sz w:val="28"/>
                <w:szCs w:val="28"/>
              </w:rPr>
            </w:pPr>
            <w:r>
              <w:rPr>
                <w:rFonts w:ascii="仿宋_GB2312" w:hAnsi="宋体" w:eastAsia="仿宋_GB2312" w:cs="宋体"/>
                <w:sz w:val="28"/>
                <w:szCs w:val="28"/>
              </w:rPr>
              <w:t>课桌式</w:t>
            </w:r>
          </w:p>
        </w:tc>
        <w:tc>
          <w:tcPr>
            <w:tcW w:w="1081" w:type="dxa"/>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500</w:t>
            </w:r>
          </w:p>
        </w:tc>
        <w:tc>
          <w:tcPr>
            <w:tcW w:w="1275" w:type="dxa"/>
            <w:vAlign w:val="center"/>
          </w:tcPr>
          <w:p>
            <w:pPr>
              <w:widowControl/>
              <w:jc w:val="center"/>
              <w:rPr>
                <w:rFonts w:hAnsi="宋体" w:cs="宋体"/>
                <w:sz w:val="28"/>
                <w:szCs w:val="28"/>
              </w:rPr>
            </w:pPr>
          </w:p>
        </w:tc>
        <w:tc>
          <w:tcPr>
            <w:tcW w:w="1267" w:type="dxa"/>
            <w:vAlign w:val="center"/>
          </w:tcPr>
          <w:p>
            <w:pPr>
              <w:widowControl/>
              <w:jc w:val="center"/>
              <w:rPr>
                <w:rFonts w:hAnsi="宋体" w:cs="宋体"/>
                <w:sz w:val="28"/>
                <w:szCs w:val="28"/>
              </w:rPr>
            </w:pPr>
          </w:p>
        </w:tc>
        <w:tc>
          <w:tcPr>
            <w:tcW w:w="1147" w:type="dxa"/>
            <w:vAlign w:val="center"/>
          </w:tcPr>
          <w:p>
            <w:pPr>
              <w:widowControl/>
              <w:jc w:val="center"/>
              <w:rPr>
                <w:rFonts w:hAnsi="宋体" w:cs="宋体"/>
                <w:sz w:val="28"/>
                <w:szCs w:val="28"/>
              </w:rPr>
            </w:pPr>
          </w:p>
        </w:tc>
        <w:tc>
          <w:tcPr>
            <w:tcW w:w="1147" w:type="dxa"/>
            <w:vAlign w:val="center"/>
          </w:tcPr>
          <w:p>
            <w:pPr>
              <w:widowControl/>
              <w:jc w:val="center"/>
              <w:rPr>
                <w:rFonts w:hAnsi="宋体" w:cs="宋体"/>
                <w:sz w:val="28"/>
                <w:szCs w:val="28"/>
              </w:rPr>
            </w:pPr>
          </w:p>
        </w:tc>
        <w:tc>
          <w:tcPr>
            <w:tcW w:w="1147" w:type="dxa"/>
            <w:vAlign w:val="center"/>
          </w:tcPr>
          <w:p>
            <w:pPr>
              <w:widowControl/>
              <w:jc w:val="center"/>
              <w:rPr>
                <w:rFonts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276" w:type="dxa"/>
            <w:vMerge w:val="continue"/>
            <w:vAlign w:val="center"/>
          </w:tcPr>
          <w:p>
            <w:pPr>
              <w:widowControl/>
              <w:jc w:val="center"/>
              <w:rPr>
                <w:rFonts w:ascii="仿宋_GB2312" w:hAnsi="宋体" w:eastAsia="仿宋_GB2312" w:cs="宋体"/>
                <w:sz w:val="28"/>
                <w:szCs w:val="28"/>
              </w:rPr>
            </w:pPr>
          </w:p>
        </w:tc>
        <w:tc>
          <w:tcPr>
            <w:tcW w:w="1081" w:type="dxa"/>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200</w:t>
            </w:r>
          </w:p>
        </w:tc>
        <w:tc>
          <w:tcPr>
            <w:tcW w:w="1275" w:type="dxa"/>
            <w:vAlign w:val="center"/>
          </w:tcPr>
          <w:p>
            <w:pPr>
              <w:widowControl/>
              <w:jc w:val="center"/>
              <w:rPr>
                <w:rFonts w:hAnsi="宋体" w:cs="宋体"/>
                <w:sz w:val="28"/>
                <w:szCs w:val="28"/>
              </w:rPr>
            </w:pPr>
          </w:p>
        </w:tc>
        <w:tc>
          <w:tcPr>
            <w:tcW w:w="1267" w:type="dxa"/>
            <w:vAlign w:val="center"/>
          </w:tcPr>
          <w:p>
            <w:pPr>
              <w:widowControl/>
              <w:jc w:val="center"/>
              <w:rPr>
                <w:rFonts w:hAnsi="宋体" w:cs="宋体"/>
                <w:sz w:val="28"/>
                <w:szCs w:val="28"/>
              </w:rPr>
            </w:pPr>
          </w:p>
        </w:tc>
        <w:tc>
          <w:tcPr>
            <w:tcW w:w="1147" w:type="dxa"/>
            <w:vAlign w:val="center"/>
          </w:tcPr>
          <w:p>
            <w:pPr>
              <w:widowControl/>
              <w:jc w:val="center"/>
              <w:rPr>
                <w:rFonts w:hAnsi="宋体" w:cs="宋体"/>
                <w:sz w:val="28"/>
                <w:szCs w:val="28"/>
              </w:rPr>
            </w:pPr>
          </w:p>
        </w:tc>
        <w:tc>
          <w:tcPr>
            <w:tcW w:w="1147" w:type="dxa"/>
            <w:vAlign w:val="center"/>
          </w:tcPr>
          <w:p>
            <w:pPr>
              <w:widowControl/>
              <w:jc w:val="center"/>
              <w:rPr>
                <w:rFonts w:hAnsi="宋体" w:cs="宋体"/>
                <w:sz w:val="28"/>
                <w:szCs w:val="28"/>
              </w:rPr>
            </w:pPr>
          </w:p>
        </w:tc>
        <w:tc>
          <w:tcPr>
            <w:tcW w:w="1147" w:type="dxa"/>
            <w:vAlign w:val="center"/>
          </w:tcPr>
          <w:p>
            <w:pPr>
              <w:widowControl/>
              <w:jc w:val="center"/>
              <w:rPr>
                <w:rFonts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276" w:type="dxa"/>
            <w:vMerge w:val="continue"/>
            <w:vAlign w:val="center"/>
          </w:tcPr>
          <w:p>
            <w:pPr>
              <w:widowControl/>
              <w:jc w:val="center"/>
              <w:rPr>
                <w:rFonts w:ascii="仿宋_GB2312" w:hAnsi="宋体" w:eastAsia="仿宋_GB2312" w:cs="宋体"/>
                <w:sz w:val="28"/>
                <w:szCs w:val="28"/>
              </w:rPr>
            </w:pPr>
          </w:p>
        </w:tc>
        <w:tc>
          <w:tcPr>
            <w:tcW w:w="1081" w:type="dxa"/>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100</w:t>
            </w:r>
          </w:p>
        </w:tc>
        <w:tc>
          <w:tcPr>
            <w:tcW w:w="1275" w:type="dxa"/>
            <w:vAlign w:val="center"/>
          </w:tcPr>
          <w:p>
            <w:pPr>
              <w:widowControl/>
              <w:jc w:val="center"/>
              <w:rPr>
                <w:rFonts w:hAnsi="宋体" w:cs="宋体"/>
                <w:sz w:val="28"/>
                <w:szCs w:val="28"/>
              </w:rPr>
            </w:pPr>
          </w:p>
        </w:tc>
        <w:tc>
          <w:tcPr>
            <w:tcW w:w="1267" w:type="dxa"/>
            <w:vAlign w:val="center"/>
          </w:tcPr>
          <w:p>
            <w:pPr>
              <w:widowControl/>
              <w:jc w:val="center"/>
              <w:rPr>
                <w:rFonts w:hAnsi="宋体" w:cs="宋体"/>
                <w:sz w:val="28"/>
                <w:szCs w:val="28"/>
              </w:rPr>
            </w:pPr>
          </w:p>
        </w:tc>
        <w:tc>
          <w:tcPr>
            <w:tcW w:w="1147" w:type="dxa"/>
            <w:vAlign w:val="center"/>
          </w:tcPr>
          <w:p>
            <w:pPr>
              <w:widowControl/>
              <w:jc w:val="center"/>
              <w:rPr>
                <w:rFonts w:hAnsi="宋体" w:cs="宋体"/>
                <w:sz w:val="28"/>
                <w:szCs w:val="28"/>
              </w:rPr>
            </w:pPr>
          </w:p>
        </w:tc>
        <w:tc>
          <w:tcPr>
            <w:tcW w:w="1147" w:type="dxa"/>
            <w:vAlign w:val="center"/>
          </w:tcPr>
          <w:p>
            <w:pPr>
              <w:widowControl/>
              <w:jc w:val="center"/>
              <w:rPr>
                <w:rFonts w:hAnsi="宋体" w:cs="宋体"/>
                <w:sz w:val="28"/>
                <w:szCs w:val="28"/>
              </w:rPr>
            </w:pPr>
          </w:p>
        </w:tc>
        <w:tc>
          <w:tcPr>
            <w:tcW w:w="1147" w:type="dxa"/>
            <w:vAlign w:val="center"/>
          </w:tcPr>
          <w:p>
            <w:pPr>
              <w:widowControl/>
              <w:jc w:val="center"/>
              <w:rPr>
                <w:rFonts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276" w:type="dxa"/>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U字形</w:t>
            </w:r>
          </w:p>
        </w:tc>
        <w:tc>
          <w:tcPr>
            <w:tcW w:w="1081" w:type="dxa"/>
            <w:vAlign w:val="center"/>
          </w:tcPr>
          <w:p>
            <w:pPr>
              <w:widowControl/>
              <w:jc w:val="center"/>
              <w:rPr>
                <w:rFonts w:hAnsi="宋体" w:cs="宋体"/>
                <w:sz w:val="28"/>
                <w:szCs w:val="28"/>
              </w:rPr>
            </w:pPr>
            <w:r>
              <w:rPr>
                <w:rFonts w:hint="eastAsia" w:ascii="仿宋_GB2312" w:hAnsi="宋体" w:eastAsia="仿宋_GB2312" w:cs="宋体"/>
                <w:sz w:val="28"/>
                <w:szCs w:val="28"/>
              </w:rPr>
              <w:t>30-80</w:t>
            </w:r>
          </w:p>
        </w:tc>
        <w:tc>
          <w:tcPr>
            <w:tcW w:w="1275" w:type="dxa"/>
            <w:vAlign w:val="center"/>
          </w:tcPr>
          <w:p>
            <w:pPr>
              <w:widowControl/>
              <w:jc w:val="center"/>
              <w:rPr>
                <w:rFonts w:hAnsi="宋体" w:cs="宋体"/>
                <w:sz w:val="28"/>
                <w:szCs w:val="28"/>
              </w:rPr>
            </w:pPr>
          </w:p>
        </w:tc>
        <w:tc>
          <w:tcPr>
            <w:tcW w:w="1267" w:type="dxa"/>
            <w:vAlign w:val="center"/>
          </w:tcPr>
          <w:p>
            <w:pPr>
              <w:widowControl/>
              <w:jc w:val="center"/>
              <w:rPr>
                <w:rFonts w:hAnsi="宋体" w:cs="宋体"/>
                <w:sz w:val="28"/>
                <w:szCs w:val="28"/>
              </w:rPr>
            </w:pPr>
          </w:p>
        </w:tc>
        <w:tc>
          <w:tcPr>
            <w:tcW w:w="1147" w:type="dxa"/>
            <w:vAlign w:val="center"/>
          </w:tcPr>
          <w:p>
            <w:pPr>
              <w:widowControl/>
              <w:jc w:val="center"/>
              <w:rPr>
                <w:rFonts w:hAnsi="宋体" w:cs="宋体"/>
                <w:sz w:val="28"/>
                <w:szCs w:val="28"/>
              </w:rPr>
            </w:pPr>
          </w:p>
        </w:tc>
        <w:tc>
          <w:tcPr>
            <w:tcW w:w="1147" w:type="dxa"/>
            <w:vAlign w:val="center"/>
          </w:tcPr>
          <w:p>
            <w:pPr>
              <w:widowControl/>
              <w:jc w:val="center"/>
              <w:rPr>
                <w:rFonts w:hAnsi="宋体" w:cs="宋体"/>
                <w:sz w:val="28"/>
                <w:szCs w:val="28"/>
              </w:rPr>
            </w:pPr>
          </w:p>
        </w:tc>
        <w:tc>
          <w:tcPr>
            <w:tcW w:w="1147" w:type="dxa"/>
            <w:vAlign w:val="center"/>
          </w:tcPr>
          <w:p>
            <w:pPr>
              <w:widowControl/>
              <w:jc w:val="center"/>
              <w:rPr>
                <w:rFonts w:hAnsi="宋体" w:cs="宋体"/>
                <w:sz w:val="28"/>
                <w:szCs w:val="28"/>
              </w:rPr>
            </w:pPr>
          </w:p>
        </w:tc>
      </w:tr>
    </w:tbl>
    <w:p>
      <w:pPr>
        <w:adjustRightInd w:val="0"/>
        <w:spacing w:line="400" w:lineRule="exact"/>
        <w:ind w:firstLine="480" w:firstLineChars="200"/>
        <w:jc w:val="left"/>
        <w:rPr>
          <w:rFonts w:ascii="楷体" w:hAnsi="楷体" w:eastAsia="楷体"/>
          <w:sz w:val="24"/>
          <w:szCs w:val="24"/>
        </w:rPr>
      </w:pPr>
      <w:r>
        <w:rPr>
          <w:rFonts w:hint="eastAsia" w:ascii="楷体" w:hAnsi="楷体" w:eastAsia="楷体"/>
          <w:sz w:val="24"/>
          <w:szCs w:val="24"/>
        </w:rPr>
        <w:t>注：1.有相同规格的会议室有多个，应分别列明。</w:t>
      </w:r>
    </w:p>
    <w:p>
      <w:pPr>
        <w:adjustRightInd w:val="0"/>
        <w:spacing w:line="400" w:lineRule="exact"/>
        <w:ind w:left="479" w:leftChars="228" w:firstLine="480" w:firstLineChars="200"/>
        <w:jc w:val="left"/>
        <w:rPr>
          <w:rFonts w:ascii="楷体" w:hAnsi="楷体" w:eastAsia="楷体"/>
          <w:sz w:val="24"/>
          <w:szCs w:val="24"/>
        </w:rPr>
      </w:pPr>
      <w:r>
        <w:rPr>
          <w:rFonts w:hint="eastAsia" w:ascii="楷体" w:hAnsi="楷体" w:eastAsia="楷体"/>
          <w:sz w:val="24"/>
          <w:szCs w:val="24"/>
        </w:rPr>
        <w:t>2.小会议室的容纳人数与面积比（容纳人数/面积）应在1.5至2.0以内。大会议室（200平方以上（含））的容纳人数按课桌式计算。其容纳人数与面积比（容纳人数/面积）应在1至1.5以内。</w:t>
      </w:r>
    </w:p>
    <w:p>
      <w:pPr>
        <w:adjustRightInd w:val="0"/>
        <w:spacing w:line="400" w:lineRule="exact"/>
        <w:ind w:left="479" w:leftChars="228" w:firstLine="480" w:firstLineChars="200"/>
        <w:jc w:val="left"/>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.各投标人在填报时，要根据自己的情况，分别将会议室的特殊配置在备注栏中加以注明。以上表格不够可增加。</w:t>
      </w:r>
    </w:p>
    <w:p>
      <w:pPr>
        <w:adjustRightInd w:val="0"/>
        <w:spacing w:line="400" w:lineRule="exact"/>
        <w:ind w:firstLine="480" w:firstLineChars="200"/>
        <w:jc w:val="left"/>
        <w:rPr>
          <w:rFonts w:ascii="楷体" w:hAnsi="楷体" w:eastAsia="楷体"/>
          <w:sz w:val="24"/>
          <w:szCs w:val="24"/>
        </w:rPr>
      </w:pPr>
    </w:p>
    <w:p>
      <w:pPr>
        <w:widowControl/>
        <w:ind w:firstLine="560" w:firstLineChars="200"/>
        <w:jc w:val="left"/>
        <w:rPr>
          <w:rFonts w:ascii="黑体" w:hAnsi="黑体" w:eastAsia="黑体" w:cs="宋体"/>
          <w:sz w:val="28"/>
          <w:szCs w:val="28"/>
        </w:rPr>
      </w:pPr>
      <w:r>
        <w:rPr>
          <w:rFonts w:hint="eastAsia" w:ascii="黑体" w:hAnsi="黑体" w:eastAsia="黑体" w:cs="宋体"/>
          <w:sz w:val="28"/>
          <w:szCs w:val="28"/>
        </w:rPr>
        <w:t>三、餐费报价明细表</w:t>
      </w:r>
    </w:p>
    <w:tbl>
      <w:tblPr>
        <w:tblStyle w:val="4"/>
        <w:tblW w:w="8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1293"/>
        <w:gridCol w:w="1582"/>
        <w:gridCol w:w="1527"/>
        <w:gridCol w:w="1500"/>
        <w:gridCol w:w="1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1529" w:type="dxa"/>
            <w:vAlign w:val="center"/>
          </w:tcPr>
          <w:p>
            <w:pPr>
              <w:widowControl/>
              <w:spacing w:line="360" w:lineRule="exact"/>
              <w:jc w:val="center"/>
              <w:rPr>
                <w:rFonts w:ascii="黑体" w:hAnsi="黑体" w:eastAsia="黑体" w:cs="宋体"/>
                <w:sz w:val="28"/>
                <w:szCs w:val="28"/>
              </w:rPr>
            </w:pPr>
            <w:r>
              <w:rPr>
                <w:rFonts w:ascii="黑体" w:hAnsi="黑体" w:eastAsia="黑体" w:cs="宋体"/>
                <w:sz w:val="28"/>
                <w:szCs w:val="28"/>
              </w:rPr>
              <w:t>类型</w:t>
            </w:r>
          </w:p>
        </w:tc>
        <w:tc>
          <w:tcPr>
            <w:tcW w:w="1293" w:type="dxa"/>
            <w:vAlign w:val="center"/>
          </w:tcPr>
          <w:p>
            <w:pPr>
              <w:widowControl/>
              <w:spacing w:line="360" w:lineRule="exact"/>
              <w:jc w:val="center"/>
              <w:rPr>
                <w:rFonts w:ascii="黑体" w:hAnsi="黑体" w:eastAsia="黑体" w:cs="宋体"/>
                <w:sz w:val="28"/>
                <w:szCs w:val="28"/>
              </w:rPr>
            </w:pPr>
            <w:r>
              <w:rPr>
                <w:rFonts w:ascii="黑体" w:hAnsi="黑体" w:eastAsia="黑体" w:cs="宋体"/>
                <w:sz w:val="28"/>
                <w:szCs w:val="28"/>
              </w:rPr>
              <w:t>种类</w:t>
            </w:r>
          </w:p>
        </w:tc>
        <w:tc>
          <w:tcPr>
            <w:tcW w:w="1582" w:type="dxa"/>
            <w:vAlign w:val="center"/>
          </w:tcPr>
          <w:p>
            <w:pPr>
              <w:widowControl/>
              <w:spacing w:line="360" w:lineRule="exact"/>
              <w:jc w:val="center"/>
              <w:rPr>
                <w:rFonts w:ascii="黑体" w:hAnsi="黑体" w:eastAsia="黑体" w:cs="宋体"/>
                <w:sz w:val="28"/>
                <w:szCs w:val="28"/>
              </w:rPr>
            </w:pPr>
            <w:r>
              <w:rPr>
                <w:rFonts w:ascii="黑体" w:hAnsi="黑体" w:eastAsia="黑体" w:cs="宋体"/>
                <w:sz w:val="28"/>
                <w:szCs w:val="28"/>
              </w:rPr>
              <w:t>门市价</w:t>
            </w:r>
            <w:r>
              <w:rPr>
                <w:rFonts w:hint="eastAsia" w:ascii="黑体" w:hAnsi="黑体" w:eastAsia="黑体" w:cs="宋体"/>
                <w:sz w:val="28"/>
                <w:szCs w:val="28"/>
              </w:rPr>
              <w:t>（元/人/天）</w:t>
            </w:r>
          </w:p>
        </w:tc>
        <w:tc>
          <w:tcPr>
            <w:tcW w:w="1527" w:type="dxa"/>
            <w:vAlign w:val="center"/>
          </w:tcPr>
          <w:p>
            <w:pPr>
              <w:widowControl/>
              <w:spacing w:line="360" w:lineRule="exact"/>
              <w:jc w:val="center"/>
              <w:rPr>
                <w:rFonts w:ascii="黑体" w:hAnsi="黑体" w:eastAsia="黑体" w:cs="宋体"/>
                <w:sz w:val="28"/>
                <w:szCs w:val="28"/>
              </w:rPr>
            </w:pPr>
            <w:r>
              <w:rPr>
                <w:rFonts w:ascii="黑体" w:hAnsi="黑体" w:eastAsia="黑体" w:cs="宋体"/>
                <w:sz w:val="28"/>
                <w:szCs w:val="28"/>
              </w:rPr>
              <w:t>门市价</w:t>
            </w:r>
            <w:r>
              <w:rPr>
                <w:rFonts w:hint="eastAsia" w:ascii="黑体" w:hAnsi="黑体" w:eastAsia="黑体" w:cs="宋体"/>
                <w:sz w:val="28"/>
                <w:szCs w:val="28"/>
              </w:rPr>
              <w:t>（元/人/单餐）</w:t>
            </w:r>
          </w:p>
        </w:tc>
        <w:tc>
          <w:tcPr>
            <w:tcW w:w="1500" w:type="dxa"/>
            <w:vAlign w:val="center"/>
          </w:tcPr>
          <w:p>
            <w:pPr>
              <w:widowControl/>
              <w:spacing w:line="360" w:lineRule="exact"/>
              <w:jc w:val="center"/>
              <w:rPr>
                <w:rFonts w:ascii="黑体" w:hAnsi="黑体" w:eastAsia="黑体" w:cs="宋体"/>
                <w:sz w:val="28"/>
                <w:szCs w:val="28"/>
              </w:rPr>
            </w:pPr>
            <w:r>
              <w:rPr>
                <w:rFonts w:ascii="黑体" w:hAnsi="黑体" w:eastAsia="黑体" w:cs="宋体"/>
                <w:sz w:val="28"/>
                <w:szCs w:val="28"/>
              </w:rPr>
              <w:t>折扣</w:t>
            </w:r>
            <w:r>
              <w:rPr>
                <w:rFonts w:hint="eastAsia" w:ascii="黑体" w:hAnsi="黑体" w:eastAsia="黑体" w:cs="宋体"/>
                <w:sz w:val="28"/>
                <w:szCs w:val="28"/>
              </w:rPr>
              <w:t>率</w:t>
            </w:r>
          </w:p>
        </w:tc>
        <w:tc>
          <w:tcPr>
            <w:tcW w:w="1487" w:type="dxa"/>
            <w:vAlign w:val="center"/>
          </w:tcPr>
          <w:p>
            <w:pPr>
              <w:widowControl/>
              <w:spacing w:line="360" w:lineRule="exact"/>
              <w:jc w:val="center"/>
              <w:rPr>
                <w:rFonts w:ascii="黑体" w:hAnsi="黑体" w:eastAsia="黑体" w:cs="宋体"/>
                <w:sz w:val="28"/>
                <w:szCs w:val="28"/>
              </w:rPr>
            </w:pPr>
            <w:r>
              <w:rPr>
                <w:rFonts w:ascii="黑体" w:hAnsi="黑体" w:eastAsia="黑体" w:cs="宋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Merge w:val="restart"/>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午餐/晚餐</w:t>
            </w:r>
          </w:p>
        </w:tc>
        <w:tc>
          <w:tcPr>
            <w:tcW w:w="1293" w:type="dxa"/>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自助餐</w:t>
            </w:r>
          </w:p>
        </w:tc>
        <w:tc>
          <w:tcPr>
            <w:tcW w:w="1582" w:type="dxa"/>
            <w:vAlign w:val="center"/>
          </w:tcPr>
          <w:p>
            <w:pPr>
              <w:widowControl/>
              <w:jc w:val="center"/>
              <w:rPr>
                <w:rFonts w:ascii="仿宋_GB2312" w:hAnsi="宋体" w:eastAsia="仿宋_GB2312" w:cs="宋体"/>
                <w:sz w:val="28"/>
                <w:szCs w:val="28"/>
              </w:rPr>
            </w:pPr>
          </w:p>
        </w:tc>
        <w:tc>
          <w:tcPr>
            <w:tcW w:w="1527" w:type="dxa"/>
          </w:tcPr>
          <w:p>
            <w:pPr>
              <w:widowControl/>
              <w:jc w:val="center"/>
              <w:rPr>
                <w:rFonts w:ascii="仿宋_GB2312" w:hAnsi="宋体" w:eastAsia="仿宋_GB2312" w:cs="宋体"/>
                <w:sz w:val="28"/>
                <w:szCs w:val="28"/>
              </w:rPr>
            </w:pPr>
          </w:p>
        </w:tc>
        <w:tc>
          <w:tcPr>
            <w:tcW w:w="1500" w:type="dxa"/>
            <w:vAlign w:val="center"/>
          </w:tcPr>
          <w:p>
            <w:pPr>
              <w:widowControl/>
              <w:jc w:val="center"/>
              <w:rPr>
                <w:rFonts w:ascii="仿宋_GB2312" w:hAnsi="宋体" w:eastAsia="仿宋_GB2312" w:cs="宋体"/>
                <w:sz w:val="28"/>
                <w:szCs w:val="28"/>
              </w:rPr>
            </w:pPr>
          </w:p>
        </w:tc>
        <w:tc>
          <w:tcPr>
            <w:tcW w:w="1487" w:type="dxa"/>
            <w:vAlign w:val="center"/>
          </w:tcPr>
          <w:p>
            <w:pPr>
              <w:widowControl/>
              <w:jc w:val="center"/>
              <w:rPr>
                <w:rFonts w:ascii="仿宋_GB2312" w:hAnsi="宋体" w:eastAsia="仿宋_GB2312"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Merge w:val="continue"/>
            <w:vAlign w:val="center"/>
          </w:tcPr>
          <w:p>
            <w:pPr>
              <w:widowControl/>
              <w:jc w:val="center"/>
              <w:rPr>
                <w:rFonts w:ascii="仿宋_GB2312" w:hAnsi="宋体" w:eastAsia="仿宋_GB2312" w:cs="宋体"/>
                <w:sz w:val="28"/>
                <w:szCs w:val="28"/>
              </w:rPr>
            </w:pPr>
          </w:p>
        </w:tc>
        <w:tc>
          <w:tcPr>
            <w:tcW w:w="1293" w:type="dxa"/>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自助餐</w:t>
            </w:r>
          </w:p>
        </w:tc>
        <w:tc>
          <w:tcPr>
            <w:tcW w:w="1582" w:type="dxa"/>
            <w:vAlign w:val="center"/>
          </w:tcPr>
          <w:p>
            <w:pPr>
              <w:widowControl/>
              <w:jc w:val="center"/>
              <w:rPr>
                <w:rFonts w:ascii="仿宋_GB2312" w:hAnsi="宋体" w:eastAsia="仿宋_GB2312" w:cs="宋体"/>
                <w:sz w:val="28"/>
                <w:szCs w:val="28"/>
              </w:rPr>
            </w:pPr>
          </w:p>
        </w:tc>
        <w:tc>
          <w:tcPr>
            <w:tcW w:w="1527" w:type="dxa"/>
          </w:tcPr>
          <w:p>
            <w:pPr>
              <w:widowControl/>
              <w:jc w:val="center"/>
              <w:rPr>
                <w:rFonts w:ascii="仿宋_GB2312" w:hAnsi="宋体" w:eastAsia="仿宋_GB2312" w:cs="宋体"/>
                <w:sz w:val="28"/>
                <w:szCs w:val="28"/>
              </w:rPr>
            </w:pPr>
          </w:p>
        </w:tc>
        <w:tc>
          <w:tcPr>
            <w:tcW w:w="1500" w:type="dxa"/>
            <w:vAlign w:val="center"/>
          </w:tcPr>
          <w:p>
            <w:pPr>
              <w:widowControl/>
              <w:jc w:val="center"/>
              <w:rPr>
                <w:rFonts w:ascii="仿宋_GB2312" w:hAnsi="宋体" w:eastAsia="仿宋_GB2312" w:cs="宋体"/>
                <w:sz w:val="28"/>
                <w:szCs w:val="28"/>
              </w:rPr>
            </w:pPr>
          </w:p>
        </w:tc>
        <w:tc>
          <w:tcPr>
            <w:tcW w:w="1487" w:type="dxa"/>
            <w:vAlign w:val="center"/>
          </w:tcPr>
          <w:p>
            <w:pPr>
              <w:widowControl/>
              <w:jc w:val="center"/>
              <w:rPr>
                <w:rFonts w:ascii="仿宋_GB2312" w:hAnsi="宋体" w:eastAsia="仿宋_GB2312"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529" w:type="dxa"/>
            <w:vMerge w:val="continue"/>
            <w:vAlign w:val="center"/>
          </w:tcPr>
          <w:p>
            <w:pPr>
              <w:widowControl/>
              <w:jc w:val="center"/>
              <w:rPr>
                <w:rFonts w:ascii="仿宋_GB2312" w:hAnsi="宋体" w:eastAsia="仿宋_GB2312" w:cs="宋体"/>
                <w:sz w:val="28"/>
                <w:szCs w:val="28"/>
              </w:rPr>
            </w:pPr>
          </w:p>
        </w:tc>
        <w:tc>
          <w:tcPr>
            <w:tcW w:w="1293" w:type="dxa"/>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桌餐</w:t>
            </w:r>
          </w:p>
        </w:tc>
        <w:tc>
          <w:tcPr>
            <w:tcW w:w="1582" w:type="dxa"/>
            <w:vAlign w:val="center"/>
          </w:tcPr>
          <w:p>
            <w:pPr>
              <w:widowControl/>
              <w:jc w:val="center"/>
              <w:rPr>
                <w:rFonts w:ascii="仿宋_GB2312" w:hAnsi="宋体" w:eastAsia="仿宋_GB2312" w:cs="宋体"/>
                <w:sz w:val="28"/>
                <w:szCs w:val="28"/>
              </w:rPr>
            </w:pPr>
          </w:p>
        </w:tc>
        <w:tc>
          <w:tcPr>
            <w:tcW w:w="1527" w:type="dxa"/>
          </w:tcPr>
          <w:p>
            <w:pPr>
              <w:widowControl/>
              <w:jc w:val="center"/>
              <w:rPr>
                <w:rFonts w:ascii="仿宋_GB2312" w:hAnsi="宋体" w:eastAsia="仿宋_GB2312" w:cs="宋体"/>
                <w:sz w:val="28"/>
                <w:szCs w:val="28"/>
              </w:rPr>
            </w:pPr>
          </w:p>
        </w:tc>
        <w:tc>
          <w:tcPr>
            <w:tcW w:w="1500" w:type="dxa"/>
            <w:vAlign w:val="center"/>
          </w:tcPr>
          <w:p>
            <w:pPr>
              <w:widowControl/>
              <w:jc w:val="center"/>
              <w:rPr>
                <w:rFonts w:ascii="仿宋_GB2312" w:hAnsi="宋体" w:eastAsia="仿宋_GB2312" w:cs="宋体"/>
                <w:sz w:val="28"/>
                <w:szCs w:val="28"/>
              </w:rPr>
            </w:pPr>
          </w:p>
        </w:tc>
        <w:tc>
          <w:tcPr>
            <w:tcW w:w="1487" w:type="dxa"/>
            <w:vAlign w:val="center"/>
          </w:tcPr>
          <w:p>
            <w:pPr>
              <w:widowControl/>
              <w:jc w:val="center"/>
              <w:rPr>
                <w:rFonts w:ascii="仿宋_GB2312" w:hAnsi="宋体" w:eastAsia="仿宋_GB2312" w:cs="宋体"/>
                <w:sz w:val="28"/>
                <w:szCs w:val="28"/>
              </w:rPr>
            </w:pPr>
          </w:p>
        </w:tc>
      </w:tr>
    </w:tbl>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附件3</w:t>
      </w:r>
    </w:p>
    <w:p>
      <w:pPr>
        <w:jc w:val="center"/>
        <w:rPr>
          <w:rFonts w:ascii="仿宋_GB2312" w:hAnsi="仿宋" w:eastAsia="仿宋_GB2312" w:cs="黑体"/>
          <w:sz w:val="32"/>
          <w:szCs w:val="32"/>
        </w:rPr>
      </w:pPr>
      <w:r>
        <w:rPr>
          <w:rFonts w:hint="eastAsia" w:ascii="方正小标宋简体" w:hAnsi="仿宋" w:eastAsia="方正小标宋简体" w:cs="黑体"/>
          <w:sz w:val="44"/>
          <w:szCs w:val="44"/>
        </w:rPr>
        <w:t>评分标准</w:t>
      </w:r>
    </w:p>
    <w:tbl>
      <w:tblPr>
        <w:tblStyle w:val="4"/>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08"/>
        <w:gridCol w:w="779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26" w:type="dxa"/>
            <w:vAlign w:val="center"/>
          </w:tcPr>
          <w:p>
            <w:pPr>
              <w:spacing w:line="320" w:lineRule="exact"/>
              <w:jc w:val="center"/>
              <w:rPr>
                <w:rFonts w:ascii="黑体" w:hAnsi="黑体" w:eastAsia="黑体"/>
                <w:szCs w:val="21"/>
              </w:rPr>
            </w:pPr>
            <w:r>
              <w:rPr>
                <w:rFonts w:hint="eastAsia" w:ascii="黑体" w:hAnsi="黑体" w:eastAsia="黑体"/>
                <w:szCs w:val="21"/>
              </w:rPr>
              <w:t>序号</w:t>
            </w:r>
          </w:p>
        </w:tc>
        <w:tc>
          <w:tcPr>
            <w:tcW w:w="708" w:type="dxa"/>
            <w:vAlign w:val="center"/>
          </w:tcPr>
          <w:p>
            <w:pPr>
              <w:spacing w:line="320" w:lineRule="exact"/>
              <w:jc w:val="center"/>
              <w:rPr>
                <w:rFonts w:ascii="黑体" w:hAnsi="黑体" w:eastAsia="黑体"/>
                <w:szCs w:val="21"/>
              </w:rPr>
            </w:pPr>
            <w:r>
              <w:rPr>
                <w:rFonts w:hint="eastAsia" w:ascii="黑体" w:hAnsi="黑体" w:eastAsia="黑体"/>
                <w:szCs w:val="21"/>
              </w:rPr>
              <w:t>评分项目</w:t>
            </w:r>
          </w:p>
        </w:tc>
        <w:tc>
          <w:tcPr>
            <w:tcW w:w="7796" w:type="dxa"/>
            <w:vAlign w:val="center"/>
          </w:tcPr>
          <w:p>
            <w:pPr>
              <w:spacing w:line="320" w:lineRule="exact"/>
              <w:jc w:val="center"/>
              <w:rPr>
                <w:rFonts w:ascii="黑体" w:hAnsi="黑体" w:eastAsia="黑体"/>
                <w:szCs w:val="21"/>
              </w:rPr>
            </w:pPr>
            <w:r>
              <w:rPr>
                <w:rFonts w:hint="eastAsia" w:ascii="黑体" w:hAnsi="黑体" w:eastAsia="黑体"/>
                <w:szCs w:val="21"/>
              </w:rPr>
              <w:t>评分标准</w:t>
            </w:r>
          </w:p>
        </w:tc>
        <w:tc>
          <w:tcPr>
            <w:tcW w:w="426" w:type="dxa"/>
            <w:vAlign w:val="center"/>
          </w:tcPr>
          <w:p>
            <w:pPr>
              <w:spacing w:line="320" w:lineRule="exact"/>
              <w:jc w:val="center"/>
              <w:rPr>
                <w:rFonts w:ascii="黑体" w:hAnsi="黑体" w:eastAsia="黑体"/>
                <w:szCs w:val="21"/>
              </w:rPr>
            </w:pPr>
            <w:r>
              <w:rPr>
                <w:rFonts w:hint="eastAsia" w:ascii="黑体" w:hAnsi="黑体" w:eastAsia="黑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1</w:t>
            </w:r>
          </w:p>
        </w:tc>
        <w:tc>
          <w:tcPr>
            <w:tcW w:w="708" w:type="dxa"/>
            <w:vAlign w:val="center"/>
          </w:tcPr>
          <w:p>
            <w:pPr>
              <w:spacing w:line="400" w:lineRule="exact"/>
              <w:jc w:val="center"/>
              <w:rPr>
                <w:rFonts w:ascii="仿宋_GB2312" w:hAnsi="黑体" w:eastAsia="仿宋_GB2312"/>
                <w:szCs w:val="21"/>
              </w:rPr>
            </w:pPr>
            <w:r>
              <w:rPr>
                <w:rFonts w:hint="eastAsia" w:ascii="仿宋_GB2312" w:eastAsia="仿宋_GB2312"/>
                <w:szCs w:val="21"/>
              </w:rPr>
              <w:t>报价</w:t>
            </w:r>
          </w:p>
        </w:tc>
        <w:tc>
          <w:tcPr>
            <w:tcW w:w="7796" w:type="dxa"/>
            <w:vAlign w:val="center"/>
          </w:tcPr>
          <w:p>
            <w:pPr>
              <w:spacing w:line="400" w:lineRule="exact"/>
              <w:jc w:val="left"/>
              <w:rPr>
                <w:rFonts w:ascii="仿宋_GB2312" w:hAnsi="黑体" w:eastAsia="仿宋_GB2312"/>
                <w:szCs w:val="21"/>
              </w:rPr>
            </w:pPr>
            <w:r>
              <w:rPr>
                <w:rFonts w:hint="eastAsia" w:ascii="仿宋_GB2312" w:hAnsi="黑体" w:eastAsia="仿宋_GB2312"/>
                <w:szCs w:val="21"/>
              </w:rPr>
              <w:t>以招标文件要求且投标价格（房间、会议室、餐费的折扣率）最低为评标基准价，其价格为满分。其他投标人的投标报价得分=（评标基准价/投标报价）×100%×30</w:t>
            </w:r>
          </w:p>
          <w:p>
            <w:pPr>
              <w:spacing w:line="400" w:lineRule="exact"/>
              <w:jc w:val="left"/>
              <w:rPr>
                <w:rFonts w:hint="eastAsia" w:ascii="仿宋_GB2312" w:hAnsi="黑体" w:eastAsia="仿宋_GB2312"/>
                <w:szCs w:val="21"/>
              </w:rPr>
            </w:pPr>
            <w:r>
              <w:rPr>
                <w:rFonts w:hint="eastAsia" w:ascii="仿宋_GB2312" w:hAnsi="黑体" w:eastAsia="仿宋_GB2312"/>
                <w:szCs w:val="21"/>
              </w:rPr>
              <w:t>备注：房间、会议室、餐费的价格权重分别为</w:t>
            </w:r>
            <w:r>
              <w:rPr>
                <w:rFonts w:ascii="仿宋_GB2312" w:hAnsi="黑体" w:eastAsia="仿宋_GB2312"/>
                <w:szCs w:val="21"/>
              </w:rPr>
              <w:t>40</w:t>
            </w:r>
            <w:r>
              <w:rPr>
                <w:rFonts w:hint="eastAsia" w:ascii="仿宋_GB2312" w:hAnsi="黑体" w:eastAsia="仿宋_GB2312"/>
                <w:szCs w:val="21"/>
              </w:rPr>
              <w:t>%、</w:t>
            </w:r>
            <w:r>
              <w:rPr>
                <w:rFonts w:ascii="仿宋_GB2312" w:hAnsi="黑体" w:eastAsia="仿宋_GB2312"/>
                <w:szCs w:val="21"/>
              </w:rPr>
              <w:t>40</w:t>
            </w:r>
            <w:r>
              <w:rPr>
                <w:rFonts w:hint="eastAsia" w:ascii="仿宋_GB2312" w:hAnsi="黑体" w:eastAsia="仿宋_GB2312"/>
                <w:szCs w:val="21"/>
              </w:rPr>
              <w:t>%、2</w:t>
            </w:r>
            <w:r>
              <w:rPr>
                <w:rFonts w:ascii="仿宋_GB2312" w:hAnsi="黑体" w:eastAsia="仿宋_GB2312"/>
                <w:szCs w:val="21"/>
              </w:rPr>
              <w:t>0</w:t>
            </w:r>
            <w:r>
              <w:rPr>
                <w:rFonts w:hint="eastAsia" w:ascii="仿宋_GB2312" w:hAnsi="黑体" w:eastAsia="仿宋_GB2312"/>
                <w:szCs w:val="21"/>
              </w:rPr>
              <w:t>%，各报价（房间、会议室、餐费）明细表的折扣率以表中最低折扣率计算。</w:t>
            </w:r>
          </w:p>
        </w:tc>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2</w:t>
            </w:r>
          </w:p>
        </w:tc>
        <w:tc>
          <w:tcPr>
            <w:tcW w:w="708" w:type="dxa"/>
            <w:vAlign w:val="center"/>
          </w:tcPr>
          <w:p>
            <w:pPr>
              <w:spacing w:line="400" w:lineRule="exact"/>
              <w:jc w:val="center"/>
              <w:rPr>
                <w:rFonts w:ascii="仿宋_GB2312" w:hAnsi="黑体" w:eastAsia="仿宋_GB2312"/>
                <w:szCs w:val="21"/>
              </w:rPr>
            </w:pPr>
            <w:r>
              <w:rPr>
                <w:rFonts w:hint="eastAsia" w:ascii="仿宋_GB2312" w:hAnsi="黑体" w:eastAsia="仿宋_GB2312"/>
                <w:szCs w:val="21"/>
              </w:rPr>
              <w:t>服务体系</w:t>
            </w:r>
          </w:p>
        </w:tc>
        <w:tc>
          <w:tcPr>
            <w:tcW w:w="7796" w:type="dxa"/>
            <w:vAlign w:val="center"/>
          </w:tcPr>
          <w:p>
            <w:pPr>
              <w:spacing w:line="400" w:lineRule="exact"/>
              <w:rPr>
                <w:rFonts w:ascii="仿宋_GB2312" w:hAnsi="黑体" w:eastAsia="仿宋_GB2312"/>
                <w:szCs w:val="21"/>
              </w:rPr>
            </w:pPr>
            <w:r>
              <w:rPr>
                <w:rFonts w:hint="eastAsia" w:ascii="仿宋_GB2312" w:hAnsi="黑体" w:eastAsia="仿宋_GB2312"/>
                <w:szCs w:val="21"/>
              </w:rPr>
              <w:t>1.对本项目提供专人服务。（5分）</w:t>
            </w:r>
          </w:p>
          <w:p>
            <w:pPr>
              <w:spacing w:line="400" w:lineRule="exact"/>
              <w:rPr>
                <w:rFonts w:ascii="仿宋_GB2312" w:hAnsi="黑体" w:eastAsia="仿宋_GB2312"/>
                <w:szCs w:val="21"/>
              </w:rPr>
            </w:pPr>
            <w:r>
              <w:rPr>
                <w:rFonts w:hint="eastAsia" w:ascii="仿宋_GB2312" w:hAnsi="黑体" w:eastAsia="仿宋_GB2312"/>
                <w:szCs w:val="21"/>
              </w:rPr>
              <w:t>2.保证能及时提供采购人需要的酒店房价及会议室求。（5分）</w:t>
            </w:r>
          </w:p>
          <w:p>
            <w:pPr>
              <w:spacing w:line="400" w:lineRule="exact"/>
              <w:rPr>
                <w:rFonts w:ascii="仿宋_GB2312" w:hAnsi="黑体" w:eastAsia="仿宋_GB2312"/>
                <w:szCs w:val="21"/>
              </w:rPr>
            </w:pPr>
            <w:r>
              <w:rPr>
                <w:rFonts w:hint="eastAsia" w:ascii="仿宋_GB2312" w:hAnsi="黑体" w:eastAsia="仿宋_GB2312"/>
                <w:szCs w:val="21"/>
              </w:rPr>
              <w:t>3.保证及时预定、取消、延期等操作，并提供网上实时航班信息查询等（5分）</w:t>
            </w:r>
          </w:p>
          <w:p>
            <w:pPr>
              <w:spacing w:line="400" w:lineRule="exact"/>
              <w:rPr>
                <w:rFonts w:ascii="仿宋_GB2312" w:hAnsi="黑体" w:eastAsia="仿宋_GB2312"/>
                <w:szCs w:val="21"/>
              </w:rPr>
            </w:pPr>
            <w:r>
              <w:rPr>
                <w:rFonts w:hint="eastAsia" w:ascii="仿宋_GB2312" w:hAnsi="黑体" w:eastAsia="仿宋_GB2312"/>
                <w:szCs w:val="21"/>
              </w:rPr>
              <w:t>4.公司自定义服务方案（</w:t>
            </w:r>
            <w:r>
              <w:rPr>
                <w:rFonts w:ascii="仿宋_GB2312" w:hAnsi="黑体" w:eastAsia="仿宋_GB2312"/>
                <w:szCs w:val="21"/>
              </w:rPr>
              <w:t>5</w:t>
            </w:r>
            <w:r>
              <w:rPr>
                <w:rFonts w:hint="eastAsia" w:ascii="仿宋_GB2312" w:hAnsi="黑体" w:eastAsia="仿宋_GB2312"/>
                <w:szCs w:val="21"/>
              </w:rPr>
              <w:t>分）</w:t>
            </w:r>
            <w:r>
              <w:rPr>
                <w:rFonts w:ascii="仿宋_GB2312" w:hAnsi="黑体" w:eastAsia="仿宋_GB2312"/>
                <w:szCs w:val="21"/>
              </w:rPr>
              <w:t xml:space="preserve"> </w:t>
            </w:r>
          </w:p>
          <w:p>
            <w:pPr>
              <w:spacing w:line="400" w:lineRule="exact"/>
              <w:rPr>
                <w:rFonts w:ascii="仿宋_GB2312" w:hAnsi="黑体" w:eastAsia="仿宋_GB2312"/>
                <w:szCs w:val="21"/>
              </w:rPr>
            </w:pPr>
            <w:r>
              <w:rPr>
                <w:rFonts w:hint="eastAsia" w:ascii="仿宋_GB2312" w:hAnsi="黑体" w:eastAsia="仿宋_GB2312"/>
                <w:szCs w:val="21"/>
              </w:rPr>
              <w:t>备注：谈判小组成员根据整体方案、工作思路的科学、合理、可行，以及对项目工作的整体理解，进行综合评议。</w:t>
            </w:r>
          </w:p>
        </w:tc>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3</w:t>
            </w:r>
          </w:p>
        </w:tc>
        <w:tc>
          <w:tcPr>
            <w:tcW w:w="708" w:type="dxa"/>
            <w:vAlign w:val="center"/>
          </w:tcPr>
          <w:p>
            <w:pPr>
              <w:spacing w:line="400" w:lineRule="exact"/>
              <w:jc w:val="center"/>
              <w:rPr>
                <w:rFonts w:ascii="仿宋_GB2312" w:hAnsi="黑体" w:eastAsia="仿宋_GB2312"/>
                <w:szCs w:val="21"/>
              </w:rPr>
            </w:pPr>
            <w:r>
              <w:rPr>
                <w:rFonts w:hint="eastAsia" w:ascii="仿宋_GB2312" w:hAnsi="黑体" w:eastAsia="仿宋_GB2312"/>
                <w:szCs w:val="21"/>
              </w:rPr>
              <w:t>增值服务</w:t>
            </w:r>
          </w:p>
        </w:tc>
        <w:tc>
          <w:tcPr>
            <w:tcW w:w="7796" w:type="dxa"/>
            <w:vAlign w:val="center"/>
          </w:tcPr>
          <w:p>
            <w:pPr>
              <w:spacing w:line="400" w:lineRule="exact"/>
              <w:rPr>
                <w:rFonts w:ascii="仿宋_GB2312" w:hAnsi="黑体" w:eastAsia="仿宋_GB2312"/>
                <w:szCs w:val="21"/>
              </w:rPr>
            </w:pPr>
            <w:r>
              <w:rPr>
                <w:rFonts w:hint="eastAsia" w:ascii="仿宋_GB2312" w:hAnsi="黑体" w:eastAsia="仿宋_GB2312"/>
                <w:szCs w:val="21"/>
              </w:rPr>
              <w:t>1.横向比较交通、规模、环境等情况，最优得</w:t>
            </w:r>
            <w:r>
              <w:rPr>
                <w:rFonts w:ascii="仿宋_GB2312" w:hAnsi="黑体" w:eastAsia="仿宋_GB2312"/>
                <w:szCs w:val="21"/>
              </w:rPr>
              <w:t>9</w:t>
            </w:r>
            <w:r>
              <w:rPr>
                <w:rFonts w:hint="eastAsia" w:ascii="仿宋_GB2312" w:hAnsi="黑体" w:eastAsia="仿宋_GB2312"/>
                <w:szCs w:val="21"/>
              </w:rPr>
              <w:t>分；（</w:t>
            </w:r>
            <w:r>
              <w:rPr>
                <w:rFonts w:ascii="仿宋_GB2312" w:hAnsi="黑体" w:eastAsia="仿宋_GB2312"/>
                <w:szCs w:val="21"/>
              </w:rPr>
              <w:t>9</w:t>
            </w:r>
            <w:r>
              <w:rPr>
                <w:rFonts w:hint="eastAsia" w:ascii="仿宋_GB2312" w:hAnsi="黑体" w:eastAsia="仿宋_GB2312"/>
                <w:szCs w:val="21"/>
              </w:rPr>
              <w:t>分）</w:t>
            </w:r>
          </w:p>
          <w:p>
            <w:pPr>
              <w:spacing w:line="400" w:lineRule="exact"/>
              <w:rPr>
                <w:rFonts w:ascii="仿宋_GB2312" w:hAnsi="黑体" w:eastAsia="仿宋_GB2312"/>
                <w:szCs w:val="21"/>
              </w:rPr>
            </w:pPr>
            <w:r>
              <w:rPr>
                <w:rFonts w:ascii="仿宋_GB2312" w:hAnsi="黑体" w:eastAsia="仿宋_GB2312"/>
                <w:szCs w:val="21"/>
              </w:rPr>
              <w:t>2</w:t>
            </w:r>
            <w:r>
              <w:rPr>
                <w:rFonts w:hint="eastAsia" w:ascii="仿宋_GB2312" w:hAnsi="黑体" w:eastAsia="仿宋_GB2312"/>
                <w:szCs w:val="21"/>
              </w:rPr>
              <w:t>.退房时间延长</w:t>
            </w:r>
            <w:r>
              <w:rPr>
                <w:rFonts w:hint="eastAsia" w:ascii="仿宋_GB2312" w:hAnsi="黑体" w:eastAsia="仿宋_GB2312"/>
                <w:szCs w:val="21"/>
                <w:lang w:eastAsia="zh-CN"/>
              </w:rPr>
              <w:t>；</w:t>
            </w:r>
            <w:bookmarkStart w:id="0" w:name="_GoBack"/>
            <w:bookmarkEnd w:id="0"/>
            <w:r>
              <w:rPr>
                <w:rFonts w:hint="eastAsia" w:ascii="仿宋_GB2312" w:hAnsi="黑体" w:eastAsia="仿宋_GB2312"/>
                <w:szCs w:val="21"/>
                <w:lang w:eastAsia="zh-CN"/>
              </w:rPr>
              <w:t>（</w:t>
            </w:r>
            <w:r>
              <w:rPr>
                <w:rFonts w:ascii="仿宋_GB2312" w:hAnsi="黑体" w:eastAsia="仿宋_GB2312"/>
                <w:szCs w:val="21"/>
              </w:rPr>
              <w:t>3</w:t>
            </w:r>
            <w:r>
              <w:rPr>
                <w:rFonts w:hint="eastAsia" w:ascii="仿宋_GB2312" w:hAnsi="黑体" w:eastAsia="仿宋_GB2312"/>
                <w:szCs w:val="21"/>
              </w:rPr>
              <w:t>分</w:t>
            </w:r>
            <w:r>
              <w:rPr>
                <w:rFonts w:hint="eastAsia" w:ascii="仿宋_GB2312" w:hAnsi="黑体" w:eastAsia="仿宋_GB2312"/>
                <w:szCs w:val="21"/>
                <w:lang w:eastAsia="zh-CN"/>
              </w:rPr>
              <w:t>）</w:t>
            </w:r>
          </w:p>
          <w:p>
            <w:pPr>
              <w:spacing w:line="400" w:lineRule="exact"/>
              <w:rPr>
                <w:rFonts w:ascii="仿宋_GB2312" w:hAnsi="黑体" w:eastAsia="仿宋_GB2312"/>
                <w:szCs w:val="21"/>
              </w:rPr>
            </w:pPr>
            <w:r>
              <w:rPr>
                <w:rFonts w:ascii="仿宋_GB2312" w:hAnsi="黑体" w:eastAsia="仿宋_GB2312"/>
                <w:szCs w:val="21"/>
              </w:rPr>
              <w:t>3</w:t>
            </w:r>
            <w:r>
              <w:rPr>
                <w:rFonts w:hint="eastAsia" w:ascii="仿宋_GB2312" w:hAnsi="黑体" w:eastAsia="仿宋_GB2312"/>
                <w:szCs w:val="21"/>
              </w:rPr>
              <w:t>.停车免费；（</w:t>
            </w:r>
            <w:r>
              <w:rPr>
                <w:rFonts w:ascii="仿宋_GB2312" w:hAnsi="黑体" w:eastAsia="仿宋_GB2312"/>
                <w:szCs w:val="21"/>
              </w:rPr>
              <w:t>3</w:t>
            </w:r>
            <w:r>
              <w:rPr>
                <w:rFonts w:hint="eastAsia" w:ascii="仿宋_GB2312" w:hAnsi="黑体" w:eastAsia="仿宋_GB2312"/>
                <w:szCs w:val="21"/>
              </w:rPr>
              <w:t>分）</w:t>
            </w:r>
          </w:p>
          <w:p>
            <w:pPr>
              <w:spacing w:line="400" w:lineRule="exact"/>
              <w:rPr>
                <w:rFonts w:hint="eastAsia" w:ascii="仿宋_GB2312" w:hAnsi="黑体" w:eastAsia="仿宋_GB2312"/>
                <w:szCs w:val="21"/>
              </w:rPr>
            </w:pPr>
            <w:r>
              <w:rPr>
                <w:rFonts w:hint="eastAsia" w:ascii="仿宋_GB2312" w:hAnsi="黑体" w:eastAsia="仿宋_GB2312"/>
                <w:szCs w:val="21"/>
              </w:rPr>
              <w:t>4</w:t>
            </w:r>
            <w:r>
              <w:rPr>
                <w:rFonts w:ascii="仿宋_GB2312" w:hAnsi="黑体" w:eastAsia="仿宋_GB2312"/>
                <w:szCs w:val="21"/>
              </w:rPr>
              <w:t>.</w:t>
            </w:r>
            <w:r>
              <w:rPr>
                <w:rFonts w:hint="eastAsia" w:ascii="仿宋_GB2312" w:hAnsi="黑体" w:eastAsia="仿宋_GB2312"/>
                <w:szCs w:val="21"/>
              </w:rPr>
              <w:t>客人桌餐免包间费。（3分）</w:t>
            </w:r>
          </w:p>
        </w:tc>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4</w:t>
            </w:r>
          </w:p>
        </w:tc>
        <w:tc>
          <w:tcPr>
            <w:tcW w:w="708" w:type="dxa"/>
            <w:vAlign w:val="center"/>
          </w:tcPr>
          <w:p>
            <w:pPr>
              <w:spacing w:line="320" w:lineRule="exact"/>
              <w:jc w:val="center"/>
              <w:rPr>
                <w:rFonts w:ascii="仿宋_GB2312" w:eastAsia="仿宋_GB2312"/>
                <w:szCs w:val="21"/>
              </w:rPr>
            </w:pPr>
            <w:r>
              <w:rPr>
                <w:rFonts w:hint="eastAsia" w:ascii="仿宋_GB2312" w:eastAsia="仿宋_GB2312"/>
                <w:szCs w:val="21"/>
              </w:rPr>
              <w:t>同类项目业绩</w:t>
            </w:r>
          </w:p>
        </w:tc>
        <w:tc>
          <w:tcPr>
            <w:tcW w:w="7796" w:type="dxa"/>
            <w:vAlign w:val="center"/>
          </w:tcPr>
          <w:p>
            <w:pPr>
              <w:spacing w:line="400" w:lineRule="exact"/>
              <w:jc w:val="left"/>
              <w:rPr>
                <w:rFonts w:ascii="仿宋_GB2312" w:hAnsi="黑体" w:eastAsia="仿宋_GB2312"/>
                <w:szCs w:val="21"/>
              </w:rPr>
            </w:pPr>
            <w:r>
              <w:rPr>
                <w:rFonts w:ascii="仿宋_GB2312" w:hAnsi="黑体" w:eastAsia="仿宋_GB2312"/>
                <w:szCs w:val="21"/>
              </w:rPr>
              <w:t>1.</w:t>
            </w:r>
            <w:r>
              <w:rPr>
                <w:rFonts w:hint="eastAsia" w:ascii="仿宋_GB2312" w:hAnsi="黑体" w:eastAsia="仿宋_GB2312"/>
                <w:szCs w:val="21"/>
              </w:rPr>
              <w:t>2018年1月1日至今有与省级政府机关、省级事业单位提供同类服务的项目业绩，有</w:t>
            </w:r>
            <w:r>
              <w:rPr>
                <w:rFonts w:ascii="仿宋_GB2312" w:hAnsi="黑体" w:eastAsia="仿宋_GB2312"/>
                <w:szCs w:val="21"/>
              </w:rPr>
              <w:t>1</w:t>
            </w:r>
            <w:r>
              <w:rPr>
                <w:rFonts w:hint="eastAsia" w:ascii="仿宋_GB2312" w:hAnsi="黑体" w:eastAsia="仿宋_GB2312"/>
                <w:szCs w:val="21"/>
              </w:rPr>
              <w:t>家（得</w:t>
            </w:r>
            <w:r>
              <w:rPr>
                <w:rFonts w:ascii="仿宋_GB2312" w:hAnsi="黑体" w:eastAsia="仿宋_GB2312"/>
                <w:szCs w:val="21"/>
              </w:rPr>
              <w:t>2</w:t>
            </w:r>
            <w:r>
              <w:rPr>
                <w:rFonts w:hint="eastAsia" w:ascii="仿宋_GB2312" w:hAnsi="黑体" w:eastAsia="仿宋_GB2312"/>
                <w:szCs w:val="21"/>
              </w:rPr>
              <w:t>分，每增加1家得</w:t>
            </w:r>
            <w:r>
              <w:rPr>
                <w:rFonts w:ascii="仿宋_GB2312" w:hAnsi="黑体" w:eastAsia="仿宋_GB2312"/>
                <w:szCs w:val="21"/>
              </w:rPr>
              <w:t>2</w:t>
            </w:r>
            <w:r>
              <w:rPr>
                <w:rFonts w:hint="eastAsia" w:ascii="仿宋_GB2312" w:hAnsi="黑体" w:eastAsia="仿宋_GB2312"/>
                <w:szCs w:val="21"/>
              </w:rPr>
              <w:t>分，总分最高不超过</w:t>
            </w:r>
            <w:r>
              <w:rPr>
                <w:rFonts w:ascii="仿宋_GB2312" w:hAnsi="黑体" w:eastAsia="仿宋_GB2312"/>
                <w:szCs w:val="21"/>
              </w:rPr>
              <w:t>12</w:t>
            </w:r>
            <w:r>
              <w:rPr>
                <w:rFonts w:hint="eastAsia" w:ascii="仿宋_GB2312" w:hAnsi="黑体" w:eastAsia="仿宋_GB2312"/>
                <w:szCs w:val="21"/>
              </w:rPr>
              <w:t>分</w:t>
            </w:r>
          </w:p>
          <w:p>
            <w:pPr>
              <w:spacing w:line="400" w:lineRule="exact"/>
              <w:jc w:val="left"/>
              <w:rPr>
                <w:rFonts w:ascii="仿宋_GB2312" w:hAnsi="黑体" w:eastAsia="仿宋_GB2312"/>
                <w:szCs w:val="21"/>
              </w:rPr>
            </w:pPr>
            <w:r>
              <w:rPr>
                <w:rFonts w:hint="eastAsia" w:ascii="仿宋_GB2312" w:hAnsi="黑体" w:eastAsia="仿宋_GB2312"/>
                <w:szCs w:val="21"/>
              </w:rPr>
              <w:t>2</w:t>
            </w:r>
            <w:r>
              <w:rPr>
                <w:rFonts w:ascii="仿宋_GB2312" w:hAnsi="黑体" w:eastAsia="仿宋_GB2312"/>
                <w:szCs w:val="21"/>
              </w:rPr>
              <w:t>.</w:t>
            </w:r>
            <w:r>
              <w:rPr>
                <w:rFonts w:hint="eastAsia" w:ascii="仿宋_GB2312" w:hAnsi="黑体" w:eastAsia="仿宋_GB2312"/>
                <w:sz w:val="21"/>
                <w:szCs w:val="21"/>
              </w:rPr>
              <w:t>四川省党政机关会议定点酒店中的服务商</w:t>
            </w:r>
            <w:r>
              <w:rPr>
                <w:rFonts w:hint="eastAsia" w:ascii="仿宋_GB2312" w:hAnsi="黑体" w:eastAsia="仿宋_GB2312"/>
                <w:szCs w:val="21"/>
              </w:rPr>
              <w:t>，可得4分。</w:t>
            </w:r>
          </w:p>
          <w:p>
            <w:pPr>
              <w:spacing w:line="400" w:lineRule="exact"/>
              <w:jc w:val="left"/>
              <w:rPr>
                <w:rFonts w:ascii="仿宋_GB2312" w:hAnsi="黑体" w:eastAsia="仿宋_GB2312"/>
                <w:szCs w:val="21"/>
              </w:rPr>
            </w:pPr>
            <w:r>
              <w:rPr>
                <w:rFonts w:hint="eastAsia" w:ascii="仿宋_GB2312" w:hAnsi="黑体" w:eastAsia="仿宋_GB2312"/>
                <w:szCs w:val="21"/>
              </w:rPr>
              <w:t>备注：审核依据为投标文件中提交的加盖公章的合同复印件。</w:t>
            </w:r>
          </w:p>
        </w:tc>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5</w:t>
            </w:r>
          </w:p>
        </w:tc>
        <w:tc>
          <w:tcPr>
            <w:tcW w:w="708" w:type="dxa"/>
            <w:vAlign w:val="center"/>
          </w:tcPr>
          <w:p>
            <w:pPr>
              <w:spacing w:line="320" w:lineRule="exact"/>
              <w:jc w:val="center"/>
              <w:rPr>
                <w:rFonts w:ascii="仿宋_GB2312" w:hAnsi="黑体" w:eastAsia="仿宋_GB2312"/>
                <w:szCs w:val="21"/>
              </w:rPr>
            </w:pPr>
            <w:r>
              <w:rPr>
                <w:rFonts w:hint="eastAsia" w:ascii="仿宋_GB2312" w:hAnsi="黑体" w:eastAsia="仿宋_GB2312"/>
                <w:szCs w:val="21"/>
              </w:rPr>
              <w:t>后续服务承诺</w:t>
            </w:r>
          </w:p>
        </w:tc>
        <w:tc>
          <w:tcPr>
            <w:tcW w:w="7796" w:type="dxa"/>
            <w:vAlign w:val="center"/>
          </w:tcPr>
          <w:p>
            <w:pPr>
              <w:spacing w:line="400" w:lineRule="exact"/>
              <w:jc w:val="left"/>
              <w:rPr>
                <w:rFonts w:ascii="仿宋_GB2312" w:hAnsi="黑体" w:eastAsia="仿宋_GB2312"/>
                <w:szCs w:val="21"/>
              </w:rPr>
            </w:pPr>
            <w:r>
              <w:rPr>
                <w:rFonts w:hint="eastAsia" w:ascii="仿宋_GB2312" w:hAnsi="黑体" w:eastAsia="仿宋_GB2312"/>
                <w:szCs w:val="21"/>
              </w:rPr>
              <w:t>1.提供详实的服务承诺和质量保证措施计划得10-15分；</w:t>
            </w:r>
          </w:p>
          <w:p>
            <w:pPr>
              <w:spacing w:line="400" w:lineRule="exact"/>
              <w:jc w:val="left"/>
              <w:rPr>
                <w:rFonts w:ascii="仿宋_GB2312" w:hAnsi="黑体" w:eastAsia="仿宋_GB2312"/>
                <w:szCs w:val="21"/>
              </w:rPr>
            </w:pPr>
            <w:r>
              <w:rPr>
                <w:rFonts w:hint="eastAsia" w:ascii="仿宋_GB2312" w:hAnsi="黑体" w:eastAsia="仿宋_GB2312"/>
                <w:szCs w:val="21"/>
              </w:rPr>
              <w:t>2.质量保证措施计划不够详实完善得5-10分；</w:t>
            </w:r>
          </w:p>
          <w:p>
            <w:pPr>
              <w:spacing w:line="400" w:lineRule="exact"/>
              <w:jc w:val="left"/>
              <w:rPr>
                <w:rFonts w:ascii="仿宋_GB2312" w:hAnsi="黑体" w:eastAsia="仿宋_GB2312"/>
                <w:szCs w:val="21"/>
              </w:rPr>
            </w:pPr>
            <w:r>
              <w:rPr>
                <w:rFonts w:hint="eastAsia" w:ascii="仿宋_GB2312" w:hAnsi="黑体" w:eastAsia="仿宋_GB2312"/>
                <w:szCs w:val="21"/>
              </w:rPr>
              <w:t>3.提供质量保证措施欠妥得0-5分。</w:t>
            </w:r>
          </w:p>
          <w:p>
            <w:pPr>
              <w:spacing w:line="400" w:lineRule="exact"/>
              <w:jc w:val="left"/>
              <w:rPr>
                <w:rFonts w:ascii="仿宋_GB2312" w:hAnsi="黑体" w:eastAsia="仿宋_GB2312"/>
                <w:szCs w:val="21"/>
              </w:rPr>
            </w:pPr>
            <w:r>
              <w:rPr>
                <w:rFonts w:hint="eastAsia" w:ascii="仿宋_GB2312" w:hAnsi="黑体" w:eastAsia="仿宋_GB2312"/>
                <w:szCs w:val="21"/>
              </w:rPr>
              <w:t>根据对后续服务有书面承诺并有相应措施的情况综合评议。</w:t>
            </w:r>
          </w:p>
        </w:tc>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6</w:t>
            </w:r>
          </w:p>
        </w:tc>
        <w:tc>
          <w:tcPr>
            <w:tcW w:w="708" w:type="dxa"/>
            <w:vAlign w:val="center"/>
          </w:tcPr>
          <w:p>
            <w:pPr>
              <w:spacing w:line="320" w:lineRule="exact"/>
              <w:jc w:val="center"/>
              <w:rPr>
                <w:rFonts w:ascii="仿宋_GB2312" w:hAnsi="黑体" w:eastAsia="仿宋_GB2312"/>
                <w:szCs w:val="21"/>
              </w:rPr>
            </w:pPr>
            <w:r>
              <w:rPr>
                <w:rFonts w:hint="eastAsia" w:ascii="仿宋_GB2312" w:hAnsi="黑体" w:eastAsia="仿宋_GB2312"/>
                <w:szCs w:val="21"/>
              </w:rPr>
              <w:t>投标文件规范性</w:t>
            </w:r>
          </w:p>
        </w:tc>
        <w:tc>
          <w:tcPr>
            <w:tcW w:w="7796" w:type="dxa"/>
            <w:vAlign w:val="center"/>
          </w:tcPr>
          <w:p>
            <w:pPr>
              <w:spacing w:line="400" w:lineRule="exact"/>
              <w:jc w:val="left"/>
              <w:rPr>
                <w:rFonts w:ascii="仿宋_GB2312" w:hAnsi="黑体" w:eastAsia="仿宋_GB2312"/>
                <w:szCs w:val="21"/>
              </w:rPr>
            </w:pPr>
            <w:r>
              <w:rPr>
                <w:rFonts w:hint="eastAsia" w:ascii="仿宋_GB2312" w:hAnsi="黑体" w:eastAsia="仿宋_GB2312"/>
                <w:szCs w:val="21"/>
              </w:rPr>
              <w:t>投标文件制作规范，没有细微偏差情形的得1分；有一项细微偏差扣0.5分，直至该项分值扣完为止。</w:t>
            </w:r>
          </w:p>
        </w:tc>
        <w:tc>
          <w:tcPr>
            <w:tcW w:w="426" w:type="dxa"/>
            <w:vAlign w:val="center"/>
          </w:tcPr>
          <w:p>
            <w:pPr>
              <w:spacing w:line="440" w:lineRule="exact"/>
              <w:jc w:val="center"/>
              <w:rPr>
                <w:rFonts w:ascii="仿宋_GB2312" w:hAnsi="黑体" w:eastAsia="仿宋_GB2312"/>
                <w:szCs w:val="21"/>
              </w:rPr>
            </w:pPr>
            <w:r>
              <w:rPr>
                <w:rFonts w:hint="eastAsia" w:ascii="仿宋_GB2312" w:hAnsi="黑体" w:eastAsia="仿宋_GB2312"/>
                <w:szCs w:val="21"/>
              </w:rPr>
              <w:t>1分</w:t>
            </w:r>
          </w:p>
        </w:tc>
      </w:tr>
    </w:tbl>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sz w:val="32"/>
          <w:szCs w:val="32"/>
        </w:rPr>
      </w:pPr>
      <w:r>
        <w:rPr>
          <w:rFonts w:hint="eastAsia" w:ascii="黑体" w:hAnsi="黑体" w:eastAsia="黑体"/>
          <w:sz w:val="32"/>
          <w:szCs w:val="32"/>
        </w:rPr>
        <w:t>附件4</w:t>
      </w:r>
    </w:p>
    <w:p>
      <w:pPr>
        <w:spacing w:line="276" w:lineRule="auto"/>
        <w:jc w:val="center"/>
        <w:rPr>
          <w:rFonts w:ascii="方正小标宋简体" w:hAnsi="黑体" w:eastAsia="方正小标宋简体"/>
          <w:bCs/>
          <w:sz w:val="44"/>
          <w:szCs w:val="44"/>
        </w:rPr>
      </w:pPr>
      <w:r>
        <w:rPr>
          <w:rFonts w:hint="eastAsia" w:ascii="方正小标宋简体" w:hAnsi="黑体" w:eastAsia="方正小标宋简体"/>
          <w:bCs/>
          <w:sz w:val="44"/>
          <w:szCs w:val="44"/>
        </w:rPr>
        <w:t>法定代表人授权书</w:t>
      </w:r>
    </w:p>
    <w:p>
      <w:pPr>
        <w:spacing w:line="276" w:lineRule="auto"/>
        <w:jc w:val="center"/>
        <w:rPr>
          <w:rFonts w:ascii="黑体" w:hAnsi="黑体" w:eastAsia="黑体"/>
          <w:bCs/>
          <w:sz w:val="44"/>
          <w:szCs w:val="44"/>
        </w:rPr>
      </w:pPr>
    </w:p>
    <w:p>
      <w:pPr>
        <w:tabs>
          <w:tab w:val="left" w:pos="6300"/>
        </w:tabs>
        <w:spacing w:line="276" w:lineRule="auto"/>
        <w:rPr>
          <w:rFonts w:ascii="仿宋_GB2312" w:eastAsia="仿宋_GB2312"/>
          <w:color w:val="000000"/>
          <w:sz w:val="32"/>
          <w:szCs w:val="32"/>
          <w:lang w:val="zh-CN"/>
        </w:rPr>
      </w:pPr>
      <w:r>
        <w:rPr>
          <w:rFonts w:hint="eastAsia" w:ascii="仿宋_GB2312" w:eastAsia="仿宋_GB2312"/>
          <w:color w:val="000000"/>
          <w:sz w:val="32"/>
          <w:szCs w:val="32"/>
          <w:lang w:val="zh-CN"/>
        </w:rPr>
        <w:t>（采购单位名称）：</w:t>
      </w:r>
    </w:p>
    <w:p>
      <w:pPr>
        <w:tabs>
          <w:tab w:val="left" w:pos="720"/>
          <w:tab w:val="left" w:pos="6300"/>
        </w:tabs>
        <w:spacing w:line="276" w:lineRule="auto"/>
        <w:ind w:firstLine="640" w:firstLineChars="200"/>
        <w:rPr>
          <w:rFonts w:ascii="仿宋_GB2312" w:eastAsia="仿宋_GB2312"/>
          <w:color w:val="000000"/>
          <w:sz w:val="32"/>
          <w:szCs w:val="32"/>
          <w:lang w:val="zh-CN"/>
        </w:rPr>
      </w:pPr>
      <w:r>
        <w:rPr>
          <w:rFonts w:hint="eastAsia" w:ascii="仿宋_GB2312" w:eastAsia="仿宋_GB2312"/>
          <w:color w:val="000000"/>
          <w:sz w:val="32"/>
          <w:szCs w:val="32"/>
          <w:lang w:val="zh-CN"/>
        </w:rPr>
        <w:t>本授权委托书声明：我         系          的法定代表人，现授权      为我公司(机构)委托代理人，以本公司(机构)的名义参加四川省妇幼保健院协议酒店遴选活动。委托代理人在协议酒店遴选活动和委托代理合同谈判过程中所签署的一切文件和处理与之有关的一切事务，我及我的公司均予以承认并全部承担其产生的所有权利和义务。</w:t>
      </w:r>
    </w:p>
    <w:p>
      <w:pPr>
        <w:tabs>
          <w:tab w:val="left" w:pos="720"/>
          <w:tab w:val="left" w:pos="6300"/>
        </w:tabs>
        <w:spacing w:line="276" w:lineRule="auto"/>
        <w:ind w:firstLine="640" w:firstLineChars="200"/>
        <w:rPr>
          <w:rFonts w:ascii="仿宋_GB2312" w:eastAsia="仿宋_GB2312"/>
          <w:color w:val="000000"/>
          <w:sz w:val="32"/>
          <w:szCs w:val="32"/>
          <w:lang w:val="zh-CN"/>
        </w:rPr>
      </w:pPr>
      <w:r>
        <w:rPr>
          <w:rFonts w:hint="eastAsia" w:ascii="仿宋_GB2312" w:eastAsia="仿宋_GB2312"/>
          <w:color w:val="000000"/>
          <w:sz w:val="32"/>
          <w:szCs w:val="32"/>
          <w:lang w:val="zh-CN"/>
        </w:rPr>
        <w:t>委托代理人无转委托权。特此委托。</w:t>
      </w:r>
    </w:p>
    <w:p>
      <w:pPr>
        <w:tabs>
          <w:tab w:val="left" w:pos="720"/>
          <w:tab w:val="left" w:pos="6300"/>
        </w:tabs>
        <w:spacing w:line="276" w:lineRule="auto"/>
        <w:ind w:firstLine="640" w:firstLineChars="200"/>
        <w:rPr>
          <w:rFonts w:ascii="仿宋_GB2312" w:hAnsi="宋体" w:eastAsia="仿宋_GB2312"/>
          <w:sz w:val="32"/>
          <w:szCs w:val="32"/>
        </w:rPr>
      </w:pPr>
    </w:p>
    <w:p>
      <w:pPr>
        <w:tabs>
          <w:tab w:val="left" w:pos="6300"/>
        </w:tabs>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特此声明。</w:t>
      </w:r>
    </w:p>
    <w:p>
      <w:pPr>
        <w:tabs>
          <w:tab w:val="left" w:pos="6300"/>
        </w:tabs>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法定代表人签字：</w:t>
      </w:r>
    </w:p>
    <w:p>
      <w:pPr>
        <w:tabs>
          <w:tab w:val="left" w:pos="6300"/>
        </w:tabs>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授权代表签字：</w:t>
      </w:r>
    </w:p>
    <w:p>
      <w:pPr>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投标人名称：</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（加盖公章）</w:t>
      </w:r>
    </w:p>
    <w:p>
      <w:pPr>
        <w:spacing w:line="276" w:lineRule="auto"/>
        <w:ind w:firstLine="640" w:firstLineChars="200"/>
        <w:rPr>
          <w:rFonts w:ascii="仿宋_GB2312" w:hAnsi="宋体" w:eastAsia="仿宋_GB2312"/>
          <w:sz w:val="32"/>
          <w:szCs w:val="32"/>
        </w:rPr>
      </w:pPr>
      <w:r>
        <w:rPr>
          <w:rFonts w:hint="eastAsia" w:ascii="仿宋_GB2312" w:hAnsi="宋体" w:eastAsia="仿宋_GB2312"/>
          <w:sz w:val="32"/>
          <w:szCs w:val="32"/>
        </w:rPr>
        <w:t>日期：</w:t>
      </w:r>
    </w:p>
    <w:p>
      <w:pPr>
        <w:spacing w:line="276" w:lineRule="auto"/>
        <w:ind w:firstLine="640" w:firstLineChars="200"/>
        <w:rPr>
          <w:rFonts w:ascii="仿宋_GB2312" w:hAnsi="宋体" w:eastAsia="仿宋_GB2312"/>
          <w:sz w:val="32"/>
          <w:szCs w:val="32"/>
        </w:rPr>
      </w:pPr>
    </w:p>
    <w:p>
      <w:pPr>
        <w:tabs>
          <w:tab w:val="left" w:pos="6300"/>
        </w:tabs>
        <w:spacing w:line="276" w:lineRule="auto"/>
        <w:ind w:firstLine="640" w:firstLineChars="200"/>
        <w:rPr>
          <w:rFonts w:ascii="仿宋_GB2312" w:hAnsi="黑体" w:eastAsia="仿宋_GB2312"/>
          <w:color w:val="555555"/>
          <w:sz w:val="32"/>
          <w:szCs w:val="32"/>
        </w:rPr>
      </w:pPr>
      <w:r>
        <w:rPr>
          <w:rFonts w:hint="eastAsia" w:ascii="仿宋_GB2312" w:hAnsi="宋体" w:eastAsia="仿宋_GB2312"/>
          <w:sz w:val="32"/>
          <w:szCs w:val="32"/>
        </w:rPr>
        <w:t>★说明：上述证明文件附有法定代表人、被授权代表身份证复印件（加盖公章）时才能生效。</w:t>
      </w:r>
    </w:p>
    <w:p>
      <w:pPr>
        <w:jc w:val="left"/>
        <w:rPr>
          <w:rFonts w:ascii="黑体" w:hAnsi="黑体" w:eastAsia="黑体" w:cs="黑体"/>
          <w:sz w:val="32"/>
          <w:szCs w:val="32"/>
        </w:rPr>
      </w:pPr>
    </w:p>
    <w:p>
      <w:pPr>
        <w:ind w:firstLine="640" w:firstLineChars="200"/>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附件5</w:t>
      </w:r>
    </w:p>
    <w:p>
      <w:pPr>
        <w:jc w:val="center"/>
        <w:rPr>
          <w:rFonts w:ascii="方正小标宋简体" w:hAnsi="黑体" w:eastAsia="方正小标宋简体"/>
          <w:sz w:val="44"/>
          <w:szCs w:val="44"/>
        </w:rPr>
      </w:pPr>
      <w:r>
        <w:rPr>
          <w:rFonts w:hint="eastAsia" w:ascii="方正小标宋简体" w:hAnsi="黑体" w:eastAsia="方正小标宋简体" w:cs="Segoe UI"/>
          <w:bCs/>
          <w:color w:val="333333"/>
          <w:kern w:val="0"/>
          <w:sz w:val="44"/>
          <w:szCs w:val="44"/>
        </w:rPr>
        <w:t>采购文件书装订顺序</w:t>
      </w:r>
    </w:p>
    <w:p>
      <w:pPr>
        <w:widowControl/>
        <w:shd w:val="clear" w:color="auto" w:fill="FFFFFF"/>
        <w:wordWrap w:val="0"/>
        <w:spacing w:line="400" w:lineRule="atLeast"/>
        <w:ind w:left="141" w:leftChars="67" w:right="-420" w:rightChars="-200"/>
        <w:jc w:val="left"/>
        <w:rPr>
          <w:rFonts w:ascii="微软雅黑" w:hAnsi="微软雅黑" w:eastAsia="微软雅黑" w:cs="Segoe UI"/>
          <w:color w:val="333333"/>
          <w:spacing w:val="8"/>
          <w:kern w:val="0"/>
          <w:sz w:val="24"/>
          <w:szCs w:val="24"/>
        </w:rPr>
      </w:pPr>
    </w:p>
    <w:p>
      <w:pPr>
        <w:widowControl/>
        <w:shd w:val="clear" w:color="auto" w:fill="FFFFFF"/>
        <w:wordWrap w:val="0"/>
        <w:spacing w:line="400" w:lineRule="atLeast"/>
        <w:ind w:left="141" w:leftChars="67" w:right="-420" w:rightChars="-200"/>
        <w:jc w:val="left"/>
        <w:rPr>
          <w:rFonts w:ascii="仿宋_GB2312" w:hAnsi="微软雅黑" w:eastAsia="仿宋_GB2312" w:cs="Segoe UI"/>
          <w:color w:val="333333"/>
          <w:kern w:val="0"/>
          <w:sz w:val="32"/>
          <w:szCs w:val="32"/>
        </w:rPr>
      </w:pPr>
      <w:r>
        <w:rPr>
          <w:rFonts w:hint="eastAsia" w:ascii="仿宋_GB2312" w:hAnsi="微软雅黑" w:eastAsia="仿宋_GB2312" w:cs="Segoe UI"/>
          <w:color w:val="333333"/>
          <w:spacing w:val="8"/>
          <w:kern w:val="0"/>
          <w:sz w:val="32"/>
          <w:szCs w:val="32"/>
        </w:rPr>
        <w:t>1、封面（公司、项目、联系人、联系方式）。</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333333"/>
          <w:kern w:val="0"/>
          <w:sz w:val="32"/>
          <w:szCs w:val="32"/>
        </w:rPr>
      </w:pPr>
      <w:r>
        <w:rPr>
          <w:rFonts w:hint="eastAsia" w:ascii="仿宋_GB2312" w:hAnsi="微软雅黑" w:eastAsia="仿宋_GB2312" w:cs="Segoe UI"/>
          <w:color w:val="333333"/>
          <w:spacing w:val="8"/>
          <w:kern w:val="0"/>
          <w:sz w:val="32"/>
          <w:szCs w:val="32"/>
        </w:rPr>
        <w:t>2、目录。</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333333"/>
          <w:kern w:val="0"/>
          <w:sz w:val="32"/>
          <w:szCs w:val="32"/>
        </w:rPr>
      </w:pPr>
      <w:r>
        <w:rPr>
          <w:rFonts w:hint="eastAsia" w:ascii="仿宋_GB2312" w:hAnsi="微软雅黑" w:eastAsia="仿宋_GB2312" w:cs="Segoe UI"/>
          <w:color w:val="333333"/>
          <w:spacing w:val="8"/>
          <w:kern w:val="0"/>
          <w:sz w:val="32"/>
          <w:szCs w:val="32"/>
        </w:rPr>
        <w:t>3、报价表（格式见附件）。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333333"/>
          <w:kern w:val="0"/>
          <w:sz w:val="32"/>
          <w:szCs w:val="32"/>
        </w:rPr>
      </w:pPr>
      <w:r>
        <w:rPr>
          <w:rFonts w:hint="eastAsia" w:ascii="仿宋_GB2312" w:hAnsi="微软雅黑" w:eastAsia="仿宋_GB2312" w:cs="Segoe UI"/>
          <w:color w:val="333333"/>
          <w:spacing w:val="8"/>
          <w:kern w:val="0"/>
          <w:sz w:val="32"/>
          <w:szCs w:val="32"/>
        </w:rPr>
        <w:t>4、企业营业执照（复印件）。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333333"/>
          <w:kern w:val="0"/>
          <w:sz w:val="32"/>
          <w:szCs w:val="32"/>
        </w:rPr>
      </w:pPr>
      <w:r>
        <w:rPr>
          <w:rFonts w:hint="eastAsia" w:ascii="仿宋_GB2312" w:hAnsi="微软雅黑" w:eastAsia="仿宋_GB2312" w:cs="Segoe UI"/>
          <w:color w:val="333333"/>
          <w:spacing w:val="8"/>
          <w:kern w:val="0"/>
          <w:sz w:val="32"/>
          <w:szCs w:val="32"/>
        </w:rPr>
        <w:t>5、</w:t>
      </w:r>
      <w:r>
        <w:rPr>
          <w:rFonts w:hint="eastAsia" w:ascii="仿宋_GB2312" w:hAnsi="微软雅黑" w:eastAsia="仿宋_GB2312" w:cs="Segoe UI"/>
          <w:color w:val="333333"/>
          <w:kern w:val="0"/>
          <w:sz w:val="32"/>
          <w:szCs w:val="32"/>
        </w:rPr>
        <w:t>法定代表人授权书（原件），法定代表人、经办人身份证（复印件）。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333333"/>
          <w:kern w:val="0"/>
          <w:sz w:val="32"/>
          <w:szCs w:val="32"/>
        </w:rPr>
      </w:pPr>
      <w:r>
        <w:rPr>
          <w:rFonts w:hint="eastAsia" w:ascii="仿宋_GB2312" w:hAnsi="微软雅黑" w:eastAsia="仿宋_GB2312" w:cs="Segoe UI"/>
          <w:color w:val="333333"/>
          <w:kern w:val="0"/>
          <w:sz w:val="32"/>
          <w:szCs w:val="32"/>
        </w:rPr>
        <w:t>6、服务方案、增值服务。</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333333"/>
          <w:kern w:val="0"/>
          <w:sz w:val="32"/>
          <w:szCs w:val="32"/>
        </w:rPr>
      </w:pPr>
      <w:r>
        <w:rPr>
          <w:rFonts w:hint="eastAsia" w:ascii="仿宋_GB2312" w:hAnsi="微软雅黑" w:eastAsia="仿宋_GB2312" w:cs="Segoe UI"/>
          <w:color w:val="333333"/>
          <w:kern w:val="0"/>
          <w:sz w:val="32"/>
          <w:szCs w:val="32"/>
        </w:rPr>
        <w:t>7、</w:t>
      </w:r>
      <w:r>
        <w:rPr>
          <w:rFonts w:hint="eastAsia" w:ascii="仿宋_GB2312" w:hAnsi="微软雅黑" w:eastAsia="仿宋_GB2312" w:cs="Segoe UI"/>
          <w:color w:val="333333"/>
          <w:spacing w:val="8"/>
          <w:kern w:val="0"/>
          <w:sz w:val="32"/>
          <w:szCs w:val="32"/>
        </w:rPr>
        <w:t>售后</w:t>
      </w:r>
      <w:r>
        <w:rPr>
          <w:rFonts w:hint="eastAsia" w:ascii="仿宋_GB2312" w:hAnsi="微软雅黑" w:eastAsia="仿宋_GB2312" w:cs="Segoe UI"/>
          <w:color w:val="333333"/>
          <w:kern w:val="0"/>
          <w:sz w:val="32"/>
          <w:szCs w:val="32"/>
        </w:rPr>
        <w:t>服务承诺书，包括质量保证范围，售后服务体系、人员培训计划等，并提供相关人员证明材料。</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333333"/>
          <w:kern w:val="0"/>
          <w:sz w:val="32"/>
          <w:szCs w:val="32"/>
        </w:rPr>
      </w:pPr>
      <w:r>
        <w:rPr>
          <w:rFonts w:hint="eastAsia" w:ascii="仿宋_GB2312" w:hAnsi="微软雅黑" w:eastAsia="仿宋_GB2312" w:cs="Segoe UI"/>
          <w:color w:val="333333"/>
          <w:kern w:val="0"/>
          <w:sz w:val="32"/>
          <w:szCs w:val="32"/>
        </w:rPr>
        <w:t>8、业绩证明文件，用户名单及联系人与联系方式（复印件），并提供相应证明文件，要求见评分办法“业绩”说明。</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333333"/>
          <w:kern w:val="0"/>
          <w:sz w:val="32"/>
          <w:szCs w:val="32"/>
        </w:rPr>
      </w:pPr>
      <w:r>
        <w:rPr>
          <w:rFonts w:hint="eastAsia" w:ascii="仿宋_GB2312" w:hAnsi="微软雅黑" w:eastAsia="仿宋_GB2312" w:cs="Segoe UI"/>
          <w:color w:val="333333"/>
          <w:kern w:val="0"/>
          <w:sz w:val="32"/>
          <w:szCs w:val="32"/>
        </w:rPr>
        <w:t>9</w:t>
      </w:r>
      <w:r>
        <w:rPr>
          <w:rFonts w:hint="eastAsia" w:ascii="仿宋_GB2312" w:hAnsi="微软雅黑" w:eastAsia="仿宋_GB2312" w:cs="Segoe UI"/>
          <w:color w:val="333333"/>
          <w:spacing w:val="8"/>
          <w:kern w:val="0"/>
          <w:sz w:val="32"/>
          <w:szCs w:val="32"/>
        </w:rPr>
        <w:t>、能满足采购人需求的其它证明文件。</w:t>
      </w:r>
    </w:p>
    <w:p>
      <w:pPr>
        <w:widowControl/>
        <w:shd w:val="clear" w:color="auto" w:fill="FFFFFF"/>
        <w:wordWrap w:val="0"/>
        <w:spacing w:line="400" w:lineRule="atLeast"/>
        <w:ind w:left="141" w:leftChars="67" w:right="-420" w:rightChars="-200"/>
        <w:jc w:val="left"/>
        <w:rPr>
          <w:rFonts w:ascii="仿宋_GB2312" w:hAnsi="微软雅黑" w:eastAsia="仿宋_GB2312" w:cs="Segoe UI"/>
          <w:color w:val="333333"/>
          <w:kern w:val="0"/>
          <w:sz w:val="32"/>
          <w:szCs w:val="32"/>
        </w:rPr>
      </w:pPr>
      <w:r>
        <w:rPr>
          <w:rFonts w:hint="eastAsia" w:ascii="仿宋_GB2312" w:hAnsi="微软雅黑" w:eastAsia="仿宋_GB2312" w:cs="Segoe UI"/>
          <w:color w:val="333333"/>
          <w:spacing w:val="8"/>
          <w:kern w:val="0"/>
          <w:sz w:val="32"/>
          <w:szCs w:val="32"/>
        </w:rPr>
        <w:t>10</w:t>
      </w:r>
      <w:r>
        <w:rPr>
          <w:rFonts w:hint="eastAsia" w:ascii="仿宋_GB2312" w:hAnsi="微软雅黑" w:eastAsia="仿宋_GB2312" w:cs="Segoe UI"/>
          <w:color w:val="333333"/>
          <w:kern w:val="0"/>
          <w:sz w:val="32"/>
          <w:szCs w:val="32"/>
        </w:rPr>
        <w:t>、</w:t>
      </w:r>
      <w:r>
        <w:rPr>
          <w:rFonts w:hint="eastAsia" w:ascii="仿宋_GB2312" w:hAnsi="微软雅黑" w:eastAsia="仿宋_GB2312" w:cs="Segoe UI"/>
          <w:color w:val="333333"/>
          <w:spacing w:val="8"/>
          <w:kern w:val="0"/>
          <w:sz w:val="32"/>
          <w:szCs w:val="32"/>
        </w:rPr>
        <w:t>封底。</w:t>
      </w:r>
    </w:p>
    <w:p>
      <w:pPr>
        <w:widowControl/>
        <w:shd w:val="clear" w:color="auto" w:fill="FFFFFF"/>
        <w:wordWrap w:val="0"/>
        <w:spacing w:line="400" w:lineRule="atLeast"/>
        <w:ind w:left="141" w:leftChars="67"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b/>
          <w:bCs/>
          <w:color w:val="333333"/>
          <w:kern w:val="0"/>
          <w:sz w:val="24"/>
          <w:szCs w:val="24"/>
        </w:rPr>
        <w:t>注：请务必按以上顺序装订资料，如有非中文资料，请同时提供中文翻译件。</w:t>
      </w:r>
    </w:p>
    <w:p>
      <w:pPr>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r>
        <w:rPr>
          <w:rFonts w:hint="eastAsia" w:ascii="黑体" w:hAnsi="黑体" w:eastAsia="黑体"/>
          <w:sz w:val="32"/>
          <w:szCs w:val="32"/>
        </w:rPr>
        <w:t>附件6</w:t>
      </w:r>
    </w:p>
    <w:p>
      <w:pPr>
        <w:jc w:val="center"/>
        <w:rPr>
          <w:rFonts w:ascii="黑体" w:hAnsi="黑体" w:eastAsia="黑体"/>
          <w:sz w:val="32"/>
          <w:szCs w:val="32"/>
        </w:rPr>
      </w:pPr>
      <w:r>
        <w:rPr>
          <w:rFonts w:hint="eastAsia" w:ascii="方正小标宋简体" w:eastAsia="方正小标宋简体"/>
          <w:sz w:val="44"/>
          <w:szCs w:val="44"/>
        </w:rPr>
        <w:t>反商业贿赂承诺书</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_GB2312" w:eastAsia="仿宋_GB2312"/>
          <w:sz w:val="32"/>
          <w:szCs w:val="32"/>
        </w:rPr>
      </w:pPr>
      <w:r>
        <w:rPr>
          <w:rFonts w:hint="eastAsia" w:ascii="仿宋_GB2312" w:eastAsia="仿宋_GB2312"/>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_GB2312" w:eastAsia="仿宋_GB2312"/>
          <w:sz w:val="32"/>
          <w:szCs w:val="32"/>
        </w:rPr>
      </w:pPr>
      <w:r>
        <w:rPr>
          <w:rFonts w:hint="eastAsia" w:ascii="仿宋_GB2312" w:eastAsia="仿宋_GB2312"/>
          <w:sz w:val="32"/>
          <w:szCs w:val="32"/>
        </w:rPr>
        <w:t>二、本厂家、商家、公司保证在药品、医疗器械、设备、物资、基建工程竞标工作及药品、试剂销售等工作中承诺做到：</w:t>
      </w:r>
    </w:p>
    <w:p>
      <w:pPr>
        <w:ind w:firstLine="640" w:firstLineChars="200"/>
        <w:rPr>
          <w:rFonts w:ascii="仿宋_GB2312" w:eastAsia="仿宋_GB2312"/>
          <w:sz w:val="32"/>
          <w:szCs w:val="32"/>
        </w:rPr>
      </w:pPr>
      <w:r>
        <w:rPr>
          <w:rFonts w:hint="eastAsia" w:ascii="仿宋_GB2312" w:eastAsia="仿宋_GB2312"/>
          <w:sz w:val="32"/>
          <w:szCs w:val="32"/>
        </w:rPr>
        <w:t>1、不与其他投标人相互串通投标报价，损害贵院的合法权益；</w:t>
      </w:r>
    </w:p>
    <w:p>
      <w:pPr>
        <w:ind w:firstLine="640" w:firstLineChars="200"/>
        <w:rPr>
          <w:rFonts w:ascii="仿宋_GB2312" w:eastAsia="仿宋_GB2312"/>
          <w:sz w:val="32"/>
          <w:szCs w:val="32"/>
        </w:rPr>
      </w:pPr>
      <w:r>
        <w:rPr>
          <w:rFonts w:hint="eastAsia" w:ascii="仿宋_GB2312" w:eastAsia="仿宋_GB2312"/>
          <w:sz w:val="32"/>
          <w:szCs w:val="32"/>
        </w:rPr>
        <w:t>2、不与招标人串通投标，损害国家利益、社会公共利益或他人的合法权益；</w:t>
      </w:r>
    </w:p>
    <w:p>
      <w:pPr>
        <w:ind w:firstLine="640" w:firstLineChars="200"/>
        <w:rPr>
          <w:rFonts w:ascii="仿宋_GB2312" w:eastAsia="仿宋_GB2312"/>
          <w:sz w:val="32"/>
          <w:szCs w:val="32"/>
        </w:rPr>
      </w:pPr>
      <w:r>
        <w:rPr>
          <w:rFonts w:hint="eastAsia" w:ascii="仿宋_GB2312" w:eastAsia="仿宋_GB2312"/>
          <w:sz w:val="32"/>
          <w:szCs w:val="32"/>
        </w:rPr>
        <w:t>3、不以向招标人或者评标委员会成员行贿的手段谋取中标；</w:t>
      </w:r>
    </w:p>
    <w:p>
      <w:pPr>
        <w:ind w:firstLine="640" w:firstLineChars="200"/>
        <w:rPr>
          <w:rFonts w:ascii="仿宋_GB2312" w:eastAsia="仿宋_GB2312"/>
          <w:sz w:val="32"/>
          <w:szCs w:val="32"/>
        </w:rPr>
      </w:pPr>
      <w:r>
        <w:rPr>
          <w:rFonts w:hint="eastAsia" w:ascii="仿宋_GB2312" w:eastAsia="仿宋_GB2312"/>
          <w:sz w:val="32"/>
          <w:szCs w:val="32"/>
        </w:rPr>
        <w:t>4、竞标报价不违反相关法律的规定，也不以他人名义投标或者以其他方式弄虚作假，骗取中标；</w:t>
      </w:r>
    </w:p>
    <w:p>
      <w:pPr>
        <w:ind w:firstLine="640" w:firstLineChars="200"/>
        <w:rPr>
          <w:rFonts w:ascii="仿宋_GB2312" w:eastAsia="仿宋_GB2312"/>
          <w:sz w:val="32"/>
          <w:szCs w:val="32"/>
        </w:rPr>
      </w:pPr>
      <w:r>
        <w:rPr>
          <w:rFonts w:hint="eastAsia" w:ascii="仿宋_GB2312" w:eastAsia="仿宋_GB2312"/>
          <w:sz w:val="32"/>
          <w:szCs w:val="32"/>
        </w:rPr>
        <w:t>5、保证不以其他任何方式扰乱贵院的招标工作；</w:t>
      </w:r>
    </w:p>
    <w:p>
      <w:pPr>
        <w:ind w:firstLine="640" w:firstLineChars="200"/>
        <w:rPr>
          <w:rFonts w:ascii="仿宋_GB2312" w:eastAsia="仿宋_GB2312"/>
          <w:sz w:val="32"/>
          <w:szCs w:val="32"/>
        </w:rPr>
      </w:pPr>
      <w:r>
        <w:rPr>
          <w:rFonts w:hint="eastAsia" w:ascii="仿宋_GB2312" w:eastAsia="仿宋_GB2312"/>
          <w:sz w:val="32"/>
          <w:szCs w:val="32"/>
        </w:rPr>
        <w:t>6、保证不在药品销售、医疗器械、设备、物资、基建工程竞标中采取账外暗中给予回扣的手段腐蚀、贿赂医护、药剂人员、干部等其他相关人员；</w:t>
      </w:r>
    </w:p>
    <w:p>
      <w:pPr>
        <w:ind w:firstLine="640" w:firstLineChars="200"/>
        <w:rPr>
          <w:rFonts w:ascii="仿宋_GB2312" w:eastAsia="仿宋_GB2312"/>
          <w:sz w:val="32"/>
          <w:szCs w:val="32"/>
        </w:rPr>
      </w:pPr>
      <w:r>
        <w:rPr>
          <w:rFonts w:hint="eastAsia" w:ascii="仿宋_GB2312" w:eastAsia="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_GB2312" w:eastAsia="仿宋_GB2312"/>
          <w:sz w:val="32"/>
          <w:szCs w:val="32"/>
        </w:rPr>
      </w:pPr>
      <w:r>
        <w:rPr>
          <w:rFonts w:hint="eastAsia" w:ascii="仿宋_GB2312" w:eastAsia="仿宋_GB2312"/>
          <w:sz w:val="32"/>
          <w:szCs w:val="32"/>
        </w:rPr>
        <w:t>8、保证不让贵院临床科室、药剂部门以及有关人员登记、统计医生处方或为此提供方便，干扰贵院的正常工作秩序；</w:t>
      </w:r>
    </w:p>
    <w:p>
      <w:pPr>
        <w:ind w:firstLine="640" w:firstLineChars="200"/>
        <w:rPr>
          <w:rFonts w:ascii="仿宋_GB2312" w:eastAsia="仿宋_GB2312"/>
          <w:sz w:val="32"/>
          <w:szCs w:val="32"/>
        </w:rPr>
      </w:pPr>
      <w:r>
        <w:rPr>
          <w:rFonts w:hint="eastAsia" w:ascii="仿宋_GB2312" w:eastAsia="仿宋_GB2312"/>
          <w:sz w:val="32"/>
          <w:szCs w:val="32"/>
        </w:rPr>
        <w:t>9、保证不以其他任何不正当竞争手段推销药品、医疗器械、设备、物资。</w:t>
      </w:r>
    </w:p>
    <w:p>
      <w:pPr>
        <w:ind w:firstLine="640" w:firstLineChars="200"/>
        <w:rPr>
          <w:rFonts w:ascii="仿宋_GB2312" w:eastAsia="仿宋_GB2312"/>
          <w:sz w:val="32"/>
          <w:szCs w:val="32"/>
        </w:rPr>
      </w:pPr>
      <w:r>
        <w:rPr>
          <w:rFonts w:hint="eastAsia" w:ascii="仿宋_GB2312" w:eastAsia="仿宋_GB2312"/>
          <w:sz w:val="32"/>
          <w:szCs w:val="32"/>
        </w:rPr>
        <w:t>三、本厂家、商家、公司保证竭力维护贵院的声誉，不做任何有损贵院形象的事情。</w:t>
      </w:r>
    </w:p>
    <w:p>
      <w:pPr>
        <w:ind w:firstLine="640" w:firstLineChars="200"/>
        <w:rPr>
          <w:rFonts w:ascii="仿宋_GB2312" w:eastAsia="仿宋_GB2312"/>
          <w:sz w:val="32"/>
          <w:szCs w:val="32"/>
        </w:rPr>
      </w:pPr>
      <w:r>
        <w:rPr>
          <w:rFonts w:hint="eastAsia" w:ascii="仿宋_GB2312" w:eastAsia="仿宋_GB2312"/>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_GB2312" w:eastAsia="仿宋_GB2312"/>
          <w:sz w:val="32"/>
          <w:szCs w:val="32"/>
        </w:rPr>
      </w:pPr>
      <w:r>
        <w:rPr>
          <w:rFonts w:hint="eastAsia" w:ascii="仿宋_GB2312" w:eastAsia="仿宋_GB2312"/>
          <w:sz w:val="32"/>
          <w:szCs w:val="32"/>
        </w:rPr>
        <w:t>五、对本厂家、商家、公司及本厂家、商家、公司工作人员采取以上手段竞标、促销等，干扰贵院正常工作秩序，损害贵院形象的，本厂家、商家、公司保证：</w:t>
      </w:r>
    </w:p>
    <w:p>
      <w:pPr>
        <w:ind w:firstLine="640" w:firstLineChars="200"/>
        <w:rPr>
          <w:rFonts w:ascii="仿宋_GB2312" w:eastAsia="仿宋_GB2312"/>
          <w:sz w:val="32"/>
          <w:szCs w:val="32"/>
        </w:rPr>
      </w:pPr>
      <w:r>
        <w:rPr>
          <w:rFonts w:hint="eastAsia" w:ascii="仿宋_GB2312" w:eastAsia="仿宋_GB2312"/>
          <w:sz w:val="32"/>
          <w:szCs w:val="32"/>
        </w:rPr>
        <w:t>1、对尚处在竞标阶段的，贵院有权取消本厂家、商家、公司的竞标资格；已经中标的，贵院有权取消中标；对已经获得准入资格的，贵院有权随时取消本厂家、商家、公司的准入资格；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_GB2312" w:eastAsia="仿宋_GB2312"/>
          <w:sz w:val="32"/>
          <w:szCs w:val="32"/>
        </w:rPr>
      </w:pPr>
      <w:r>
        <w:rPr>
          <w:rFonts w:hint="eastAsia" w:ascii="仿宋_GB2312" w:eastAsia="仿宋_GB2312"/>
          <w:sz w:val="32"/>
          <w:szCs w:val="32"/>
        </w:rPr>
        <w:t>2、对本厂家、商家、公司相关工作人员作出严肃处理；</w:t>
      </w:r>
    </w:p>
    <w:p>
      <w:pPr>
        <w:ind w:firstLine="640" w:firstLineChars="200"/>
        <w:rPr>
          <w:rFonts w:ascii="仿宋_GB2312" w:eastAsia="仿宋_GB2312"/>
          <w:sz w:val="32"/>
          <w:szCs w:val="32"/>
        </w:rPr>
      </w:pPr>
      <w:r>
        <w:rPr>
          <w:rFonts w:hint="eastAsia" w:ascii="仿宋_GB2312" w:eastAsia="仿宋_GB2312"/>
          <w:sz w:val="32"/>
          <w:szCs w:val="32"/>
        </w:rPr>
        <w:t>3、对由于本厂家、商家、公司或本厂家、商家、公司工作人员的上述行为给贵院造成经济或名誉损失的，由本厂家、商家、公司负责，并愿意承担全部民事赔偿责任。</w:t>
      </w:r>
    </w:p>
    <w:p>
      <w:pPr>
        <w:ind w:firstLine="640" w:firstLineChars="200"/>
        <w:rPr>
          <w:rFonts w:ascii="仿宋_GB2312" w:eastAsia="仿宋_GB2312"/>
          <w:sz w:val="32"/>
          <w:szCs w:val="32"/>
        </w:rPr>
      </w:pPr>
      <w:r>
        <w:rPr>
          <w:rFonts w:hint="eastAsia" w:ascii="仿宋_GB2312" w:eastAsia="仿宋_GB2312"/>
          <w:sz w:val="32"/>
          <w:szCs w:val="32"/>
        </w:rPr>
        <w:t>六、采购物资名称：</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本《承诺书》一式二份（一份由承诺人自存；一份随竞价书传递）</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承诺企业名称（公章）：</w:t>
      </w:r>
    </w:p>
    <w:p>
      <w:pPr>
        <w:rPr>
          <w:rFonts w:ascii="仿宋_GB2312" w:eastAsia="仿宋_GB2312"/>
          <w:sz w:val="32"/>
          <w:szCs w:val="32"/>
        </w:rPr>
      </w:pPr>
      <w:r>
        <w:rPr>
          <w:rFonts w:hint="eastAsia" w:ascii="仿宋_GB2312" w:eastAsia="仿宋_GB2312"/>
          <w:sz w:val="32"/>
          <w:szCs w:val="32"/>
        </w:rPr>
        <w:t>法人代表或委托代理人（承诺人）：</w:t>
      </w:r>
    </w:p>
    <w:p/>
    <w:p>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42A7"/>
    <w:rsid w:val="00032CA9"/>
    <w:rsid w:val="001A5BE2"/>
    <w:rsid w:val="00207F36"/>
    <w:rsid w:val="002402B8"/>
    <w:rsid w:val="00255DCA"/>
    <w:rsid w:val="00323053"/>
    <w:rsid w:val="004E2C8D"/>
    <w:rsid w:val="004E7327"/>
    <w:rsid w:val="00516BA2"/>
    <w:rsid w:val="005F7FFD"/>
    <w:rsid w:val="006777B6"/>
    <w:rsid w:val="006A4294"/>
    <w:rsid w:val="0077188F"/>
    <w:rsid w:val="007942A7"/>
    <w:rsid w:val="00A870D7"/>
    <w:rsid w:val="00BF2D80"/>
    <w:rsid w:val="00C100B2"/>
    <w:rsid w:val="00CE0F83"/>
    <w:rsid w:val="00DB0F2E"/>
    <w:rsid w:val="00E62786"/>
    <w:rsid w:val="00F01B2D"/>
    <w:rsid w:val="0B8322C4"/>
    <w:rsid w:val="0FA97A21"/>
    <w:rsid w:val="19373E24"/>
    <w:rsid w:val="7C160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533</Words>
  <Characters>3042</Characters>
  <Lines>25</Lines>
  <Paragraphs>7</Paragraphs>
  <TotalTime>2</TotalTime>
  <ScaleCrop>false</ScaleCrop>
  <LinksUpToDate>false</LinksUpToDate>
  <CharactersWithSpaces>3568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2021-03-18T06:31:00Z</dcterms:created>
  <dc:creator>朱燕（大）</dc:creator>
  <cp:lastModifiedBy>Administrator</cp:lastModifiedBy>
  <dcterms:modified xsi:type="dcterms:W3CDTF">2021-03-26T05:51:29Z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