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2552"/>
        <w:gridCol w:w="6520"/>
      </w:tblGrid>
      <w:tr w:rsidR="00550E49" w:rsidRPr="008E1E35" w:rsidTr="002A4A21">
        <w:trPr>
          <w:trHeight w:val="496"/>
        </w:trPr>
        <w:tc>
          <w:tcPr>
            <w:tcW w:w="993" w:type="dxa"/>
            <w:vAlign w:val="center"/>
          </w:tcPr>
          <w:p w:rsidR="00550E49" w:rsidRPr="002C20D0" w:rsidRDefault="00550E49" w:rsidP="002C20D0">
            <w:pPr>
              <w:jc w:val="center"/>
              <w:rPr>
                <w:rFonts w:ascii="微软雅黑" w:eastAsia="微软雅黑" w:hAnsi="微软雅黑"/>
                <w:sz w:val="24"/>
                <w:szCs w:val="24"/>
              </w:rPr>
            </w:pPr>
            <w:r w:rsidRPr="002C20D0">
              <w:rPr>
                <w:rFonts w:ascii="微软雅黑" w:eastAsia="微软雅黑" w:hAnsi="微软雅黑" w:hint="eastAsia"/>
                <w:sz w:val="24"/>
                <w:szCs w:val="24"/>
              </w:rPr>
              <w:t>包号</w:t>
            </w:r>
          </w:p>
        </w:tc>
        <w:tc>
          <w:tcPr>
            <w:tcW w:w="2552"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产品名称</w:t>
            </w:r>
          </w:p>
        </w:tc>
        <w:tc>
          <w:tcPr>
            <w:tcW w:w="6520" w:type="dxa"/>
            <w:vAlign w:val="center"/>
          </w:tcPr>
          <w:p w:rsidR="00550E49" w:rsidRPr="002C20D0" w:rsidRDefault="00550E49" w:rsidP="002C20D0">
            <w:pPr>
              <w:wordWrap w:val="0"/>
              <w:jc w:val="center"/>
              <w:rPr>
                <w:rFonts w:ascii="微软雅黑" w:eastAsia="微软雅黑" w:hAnsi="微软雅黑"/>
                <w:sz w:val="24"/>
                <w:szCs w:val="24"/>
              </w:rPr>
            </w:pPr>
            <w:r w:rsidRPr="002C20D0">
              <w:rPr>
                <w:rFonts w:ascii="微软雅黑" w:eastAsia="微软雅黑" w:hAnsi="微软雅黑" w:hint="eastAsia"/>
                <w:sz w:val="24"/>
                <w:szCs w:val="24"/>
              </w:rPr>
              <w:t>技术要求</w:t>
            </w:r>
          </w:p>
        </w:tc>
      </w:tr>
      <w:tr w:rsidR="00E3255E" w:rsidRPr="002A4A21" w:rsidTr="006E5BD0">
        <w:trPr>
          <w:trHeight w:val="575"/>
        </w:trPr>
        <w:tc>
          <w:tcPr>
            <w:tcW w:w="993" w:type="dxa"/>
            <w:vAlign w:val="center"/>
          </w:tcPr>
          <w:p w:rsidR="00E3255E" w:rsidRPr="00F03B87" w:rsidRDefault="00E3255E" w:rsidP="00B3676A">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552" w:type="dxa"/>
            <w:vAlign w:val="center"/>
          </w:tcPr>
          <w:p w:rsidR="00E3255E" w:rsidRPr="00F03B87" w:rsidRDefault="005175EE" w:rsidP="00E3255E">
            <w:pPr>
              <w:spacing w:line="480" w:lineRule="exact"/>
              <w:jc w:val="center"/>
              <w:rPr>
                <w:rFonts w:ascii="微软雅黑" w:eastAsia="微软雅黑" w:hAnsi="微软雅黑"/>
                <w:sz w:val="24"/>
                <w:szCs w:val="24"/>
              </w:rPr>
            </w:pPr>
            <w:r w:rsidRPr="005175EE">
              <w:rPr>
                <w:rFonts w:ascii="微软雅黑" w:eastAsia="微软雅黑" w:hAnsi="微软雅黑" w:hint="eastAsia"/>
                <w:sz w:val="24"/>
                <w:szCs w:val="24"/>
              </w:rPr>
              <w:t>一次性使用阻抗电极</w:t>
            </w:r>
          </w:p>
        </w:tc>
        <w:tc>
          <w:tcPr>
            <w:tcW w:w="6520" w:type="dxa"/>
          </w:tcPr>
          <w:p w:rsidR="005175EE" w:rsidRPr="005175EE" w:rsidRDefault="005175EE" w:rsidP="005175EE">
            <w:pPr>
              <w:spacing w:line="480" w:lineRule="exact"/>
              <w:rPr>
                <w:rFonts w:ascii="微软雅黑" w:eastAsia="微软雅黑" w:hAnsi="微软雅黑" w:hint="eastAsia"/>
                <w:sz w:val="24"/>
                <w:szCs w:val="24"/>
              </w:rPr>
            </w:pPr>
            <w:r w:rsidRPr="005175EE">
              <w:rPr>
                <w:rFonts w:ascii="微软雅黑" w:eastAsia="微软雅黑" w:hAnsi="微软雅黑" w:hint="eastAsia"/>
                <w:sz w:val="24"/>
                <w:szCs w:val="24"/>
              </w:rPr>
              <w:t>1 结构组成：包括但不限于传感器、钮扣、水化导电胶、敷贴件；</w:t>
            </w:r>
          </w:p>
          <w:p w:rsidR="005175EE" w:rsidRPr="005175EE" w:rsidRDefault="005175EE" w:rsidP="005175EE">
            <w:pPr>
              <w:spacing w:line="480" w:lineRule="exact"/>
              <w:rPr>
                <w:rFonts w:ascii="微软雅黑" w:eastAsia="微软雅黑" w:hAnsi="微软雅黑" w:hint="eastAsia"/>
                <w:sz w:val="24"/>
                <w:szCs w:val="24"/>
              </w:rPr>
            </w:pPr>
            <w:r w:rsidRPr="005175EE">
              <w:rPr>
                <w:rFonts w:ascii="微软雅黑" w:eastAsia="微软雅黑" w:hAnsi="微软雅黑" w:hint="eastAsia"/>
                <w:sz w:val="24"/>
                <w:szCs w:val="24"/>
              </w:rPr>
              <w:t>2 材质要求：由由高导电性Ag/AgCL水化凝胶组成；</w:t>
            </w:r>
          </w:p>
          <w:p w:rsidR="005175EE" w:rsidRPr="005175EE" w:rsidRDefault="005175EE" w:rsidP="005175EE">
            <w:pPr>
              <w:spacing w:line="480" w:lineRule="exact"/>
              <w:rPr>
                <w:rFonts w:ascii="微软雅黑" w:eastAsia="微软雅黑" w:hAnsi="微软雅黑" w:hint="eastAsia"/>
                <w:sz w:val="24"/>
                <w:szCs w:val="24"/>
              </w:rPr>
            </w:pPr>
            <w:r w:rsidRPr="005175EE">
              <w:rPr>
                <w:rFonts w:ascii="微软雅黑" w:eastAsia="微软雅黑" w:hAnsi="微软雅黑" w:hint="eastAsia"/>
                <w:sz w:val="24"/>
                <w:szCs w:val="24"/>
              </w:rPr>
              <w:t>3 性能要求：特异性识别高频低伏电信号以及红细胞发生脉冲式流动时产生的微弱生物电信号，过滤心电信号的干扰，保证结果的准确性。以特定频率每秒 500,000 次发送特定信号，完全100％通过人体，且不截取任何其他电信号；</w:t>
            </w:r>
          </w:p>
          <w:p w:rsidR="00E3255E" w:rsidRPr="00665D29" w:rsidRDefault="005175EE" w:rsidP="005175EE">
            <w:pPr>
              <w:spacing w:line="480" w:lineRule="exact"/>
              <w:rPr>
                <w:rFonts w:ascii="微软雅黑" w:eastAsia="微软雅黑" w:hAnsi="微软雅黑"/>
                <w:sz w:val="24"/>
                <w:szCs w:val="24"/>
              </w:rPr>
            </w:pPr>
            <w:r w:rsidRPr="005175EE">
              <w:rPr>
                <w:rFonts w:ascii="微软雅黑" w:eastAsia="微软雅黑" w:hAnsi="微软雅黑" w:hint="eastAsia"/>
                <w:sz w:val="24"/>
                <w:szCs w:val="24"/>
              </w:rPr>
              <w:t>4 其他要求：适配于我院现有德国欧斯卡无创血流动力学测量仪ICON使用，测量患者每搏心输出量SV、心输出量CO、胸腔液体水平TFC、每搏输出变异SVV、心肌收缩力指数ICON、心脏绩效指数CPI、输氧量/输氧指数DO2/DO2I等等参数；</w:t>
            </w:r>
          </w:p>
        </w:tc>
      </w:tr>
    </w:tbl>
    <w:p w:rsidR="00E3255E" w:rsidRPr="00E3255E" w:rsidRDefault="00E3255E" w:rsidP="00381F4A">
      <w:pPr>
        <w:widowControl/>
        <w:shd w:val="clear" w:color="auto" w:fill="FFFFFF"/>
        <w:wordWrap w:val="0"/>
        <w:spacing w:line="360" w:lineRule="auto"/>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571ED" w:rsidRDefault="003571ED">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3571ED"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49C" w:rsidRDefault="007C649C" w:rsidP="009707C6">
      <w:r>
        <w:separator/>
      </w:r>
    </w:p>
  </w:endnote>
  <w:endnote w:type="continuationSeparator" w:id="1">
    <w:p w:rsidR="007C649C" w:rsidRDefault="007C649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49C" w:rsidRDefault="007C649C" w:rsidP="009707C6">
      <w:r>
        <w:separator/>
      </w:r>
    </w:p>
  </w:footnote>
  <w:footnote w:type="continuationSeparator" w:id="1">
    <w:p w:rsidR="007C649C" w:rsidRDefault="007C649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175EE"/>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C649C"/>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048C"/>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陈胜科</cp:lastModifiedBy>
  <cp:revision>98</cp:revision>
  <cp:lastPrinted>2021-01-04T11:22:00Z</cp:lastPrinted>
  <dcterms:created xsi:type="dcterms:W3CDTF">2019-11-29T09:32:00Z</dcterms:created>
  <dcterms:modified xsi:type="dcterms:W3CDTF">2021-04-16T00:21:00Z</dcterms:modified>
</cp:coreProperties>
</file>