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79" w:rsidRDefault="00E30973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 w:type="page"/>
      </w:r>
    </w:p>
    <w:p w:rsidR="00DE6579" w:rsidRDefault="00E3097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附件一、</w:t>
      </w:r>
    </w:p>
    <w:p w:rsidR="00DE6579" w:rsidRDefault="00E30973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职能部门定岗定编及绩效分配</w:t>
      </w:r>
    </w:p>
    <w:p w:rsidR="00DE6579" w:rsidRDefault="00E30973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咨询服务采购需求</w:t>
      </w:r>
    </w:p>
    <w:p w:rsidR="00DE6579" w:rsidRDefault="00E30973">
      <w:pPr>
        <w:numPr>
          <w:ilvl w:val="0"/>
          <w:numId w:val="1"/>
        </w:num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咨询服务方式：</w:t>
      </w:r>
    </w:p>
    <w:p w:rsidR="00DE6579" w:rsidRDefault="00E3097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现场调研、指导，结合医院实际情况，提供咨询服务，拟定职能部门定岗定编及绩效分配方案。</w:t>
      </w:r>
    </w:p>
    <w:p w:rsidR="00DE6579" w:rsidRDefault="00E30973">
      <w:pPr>
        <w:numPr>
          <w:ilvl w:val="0"/>
          <w:numId w:val="1"/>
        </w:num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咨询服务范围：</w:t>
      </w:r>
    </w:p>
    <w:p w:rsidR="00DE6579" w:rsidRDefault="00E30973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sz w:val="32"/>
          <w:szCs w:val="32"/>
        </w:rPr>
        <w:t>职能部门定岗定编咨询</w:t>
      </w:r>
    </w:p>
    <w:p w:rsidR="00DE6579" w:rsidRDefault="00E30973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以医院发展目标为导向，以现有部门架构、岗位设置为基础，基于医院现有人力资源配置情况，结合实际业务开展情况及各职能部门人员工作负荷，运用多种分析方法（包括但不限于劳动效率定编法、业务流程分析法、业务数据分析法、行业配比对照法、德尔菲法、业务分工定编法等），提供基于现状和未来发展规划的岗位编制配置方案及岗位说明书。</w:t>
      </w:r>
    </w:p>
    <w:p w:rsidR="00DE6579" w:rsidRDefault="00E30973">
      <w:pPr>
        <w:numPr>
          <w:ilvl w:val="0"/>
          <w:numId w:val="2"/>
        </w:num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职能部门绩效分配方案咨询</w:t>
      </w:r>
    </w:p>
    <w:p w:rsidR="00DE6579" w:rsidRDefault="00E30973">
      <w:pPr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基于已确定的部门及岗位职责，运用价值评估方法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包括但不限于分类定级法、因素排序法、因素计分法等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，选择知识与技能、工作难度、工作责任与风险等合理的价值评估因素对部门及岗位的</w:t>
      </w:r>
      <w:r>
        <w:rPr>
          <w:rFonts w:ascii="仿宋" w:eastAsia="仿宋" w:hAnsi="仿宋" w:cs="仿宋" w:hint="eastAsia"/>
          <w:sz w:val="32"/>
          <w:szCs w:val="32"/>
        </w:rPr>
        <w:t>相对价值和相对贡献进行评价。通过院内调研等多种形式，结合行业价值评估结果大数据，根据各部门的相对价值评估形成职能各部门的绩效系数。同时，根据职能部门的定岗定编，结合各岗位职责，确定各部门部长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副部长、不同岗位干事的绩效系数，在绩效分配方案中体现岗位间的差异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DE6579" w:rsidRDefault="00E3097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附件二、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 </w:t>
      </w:r>
    </w:p>
    <w:p w:rsidR="00DE6579" w:rsidRDefault="00E30973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报价表</w:t>
      </w:r>
    </w:p>
    <w:tbl>
      <w:tblPr>
        <w:tblW w:w="8355" w:type="dxa"/>
        <w:jc w:val="center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1426"/>
        <w:gridCol w:w="1426"/>
        <w:gridCol w:w="1426"/>
        <w:gridCol w:w="1429"/>
      </w:tblGrid>
      <w:tr w:rsidR="00DE6579">
        <w:trPr>
          <w:trHeight w:val="690"/>
          <w:jc w:val="center"/>
        </w:trPr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总价（元）</w:t>
            </w:r>
          </w:p>
        </w:tc>
      </w:tr>
      <w:tr w:rsidR="00DE6579">
        <w:trPr>
          <w:trHeight w:val="195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职能部门定岗定编及绩效分配咨询服务采购需求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DE6579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2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435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E6579" w:rsidRDefault="00DE6579"/>
    <w:p w:rsidR="00DE6579" w:rsidRDefault="00DE6579"/>
    <w:p w:rsidR="00DE6579" w:rsidRDefault="00DE6579"/>
    <w:p w:rsidR="00DE6579" w:rsidRDefault="00DE6579"/>
    <w:p w:rsidR="00DE6579" w:rsidRDefault="00DE6579"/>
    <w:p w:rsidR="00DE6579" w:rsidRDefault="00DE6579"/>
    <w:p w:rsidR="00DE6579" w:rsidRDefault="00E30973">
      <w:r>
        <w:br w:type="page"/>
      </w:r>
    </w:p>
    <w:p w:rsidR="00DE6579" w:rsidRDefault="00E30973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附件三、</w:t>
      </w:r>
    </w:p>
    <w:p w:rsidR="00DE6579" w:rsidRDefault="00E30973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用户情况表</w:t>
      </w:r>
    </w:p>
    <w:tbl>
      <w:tblPr>
        <w:tblW w:w="8066" w:type="dxa"/>
        <w:jc w:val="center"/>
        <w:tblInd w:w="-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397"/>
        <w:gridCol w:w="1397"/>
        <w:gridCol w:w="1397"/>
        <w:gridCol w:w="1397"/>
        <w:gridCol w:w="1400"/>
      </w:tblGrid>
      <w:tr w:rsidR="00DE6579">
        <w:trPr>
          <w:trHeight w:val="420"/>
          <w:jc w:val="center"/>
        </w:trPr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省外省级以上单位用户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E6579">
        <w:trPr>
          <w:trHeight w:val="300"/>
          <w:jc w:val="center"/>
        </w:trPr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300"/>
          <w:jc w:val="center"/>
        </w:trPr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300"/>
          <w:jc w:val="center"/>
        </w:trPr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300"/>
          <w:jc w:val="center"/>
        </w:trPr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300"/>
          <w:jc w:val="center"/>
        </w:trPr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285"/>
          <w:jc w:val="center"/>
        </w:trPr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105"/>
          <w:jc w:val="center"/>
        </w:trPr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省内省级单位用户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105"/>
          <w:jc w:val="center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105"/>
          <w:jc w:val="center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105"/>
          <w:jc w:val="center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105"/>
          <w:jc w:val="center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105"/>
          <w:jc w:val="center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255"/>
          <w:jc w:val="center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255"/>
          <w:jc w:val="center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255"/>
          <w:jc w:val="center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255"/>
          <w:jc w:val="center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375"/>
          <w:jc w:val="center"/>
        </w:trPr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省内其他用户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375"/>
          <w:jc w:val="center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375"/>
          <w:jc w:val="center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375"/>
          <w:jc w:val="center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375"/>
          <w:jc w:val="center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375"/>
          <w:jc w:val="center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270"/>
          <w:jc w:val="center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270"/>
          <w:jc w:val="center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270"/>
          <w:jc w:val="center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E6579">
        <w:trPr>
          <w:trHeight w:val="270"/>
          <w:jc w:val="center"/>
        </w:trPr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579" w:rsidRDefault="00DE657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79" w:rsidRDefault="00E3097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DE6579" w:rsidRDefault="00E3097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DE6579" w:rsidRDefault="00DE6579">
      <w:pPr>
        <w:spacing w:line="360" w:lineRule="auto"/>
      </w:pPr>
    </w:p>
    <w:sectPr w:rsidR="00DE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7F537A"/>
    <w:multiLevelType w:val="singleLevel"/>
    <w:tmpl w:val="DD7F537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AD9A1C9"/>
    <w:multiLevelType w:val="singleLevel"/>
    <w:tmpl w:val="5AD9A1C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116EA"/>
    <w:rsid w:val="00DE6579"/>
    <w:rsid w:val="00E30973"/>
    <w:rsid w:val="07E30A8B"/>
    <w:rsid w:val="23481AD7"/>
    <w:rsid w:val="244866E2"/>
    <w:rsid w:val="396B423C"/>
    <w:rsid w:val="39C10787"/>
    <w:rsid w:val="437F7D34"/>
    <w:rsid w:val="583116EA"/>
    <w:rsid w:val="60F34253"/>
    <w:rsid w:val="6FD02E89"/>
    <w:rsid w:val="7C9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146</Words>
  <Characters>834</Characters>
  <Application>Microsoft Office Word</Application>
  <DocSecurity>0</DocSecurity>
  <Lines>6</Lines>
  <Paragraphs>1</Paragraphs>
  <ScaleCrop>false</ScaleCrop>
  <Company>四川省妇幼保健院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吴娟</cp:lastModifiedBy>
  <cp:revision>2</cp:revision>
  <dcterms:created xsi:type="dcterms:W3CDTF">2021-08-03T10:40:00Z</dcterms:created>
  <dcterms:modified xsi:type="dcterms:W3CDTF">2021-08-11T06:32:00Z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