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_GB2312" w:hAnsi="宋体" w:eastAsia="仿宋_GB2312" w:cs="仿宋_GB2312"/>
          <w:b/>
          <w:bCs/>
          <w:sz w:val="28"/>
          <w:szCs w:val="28"/>
          <w:lang w:val="en-US" w:eastAsia="zh-CN"/>
        </w:rPr>
      </w:pPr>
      <w:bookmarkStart w:id="0" w:name="_GoBack"/>
      <w:bookmarkEnd w:id="0"/>
      <w:r>
        <w:rPr>
          <w:rFonts w:hint="eastAsia" w:ascii="仿宋_GB2312" w:hAnsi="宋体" w:eastAsia="仿宋_GB2312" w:cs="仿宋_GB2312"/>
          <w:b/>
          <w:bCs/>
          <w:sz w:val="28"/>
          <w:szCs w:val="28"/>
          <w:lang w:val="en-US" w:eastAsia="zh-CN"/>
        </w:rPr>
        <w:t>附加1：采购项目配置需求</w:t>
      </w:r>
    </w:p>
    <w:p>
      <w:pPr>
        <w:rPr>
          <w:rFonts w:hint="eastAsia" w:ascii="宋体" w:hAnsi="宋体" w:eastAsia="宋体" w:cs="宋体"/>
          <w:lang w:val="en-US" w:eastAsia="zh-CN"/>
        </w:rPr>
      </w:pPr>
      <w:r>
        <w:rPr>
          <w:rFonts w:hint="eastAsia" w:ascii="宋体" w:hAnsi="宋体" w:eastAsia="宋体" w:cs="宋体"/>
          <w:lang w:val="en-US" w:eastAsia="zh-CN"/>
        </w:rPr>
        <w:t>1.产品名称：妇科、产科培训教具</w:t>
      </w:r>
    </w:p>
    <w:p>
      <w:pPr>
        <w:rPr>
          <w:rFonts w:hint="default"/>
          <w:lang w:val="en-US" w:eastAsia="zh-CN"/>
        </w:rPr>
      </w:pPr>
      <w:r>
        <w:rPr>
          <w:rFonts w:hint="eastAsia" w:ascii="宋体" w:hAnsi="宋体" w:eastAsia="宋体" w:cs="宋体"/>
          <w:lang w:val="en-US" w:eastAsia="zh-CN"/>
        </w:rPr>
        <w:t>2.数量及技术参数要求</w:t>
      </w:r>
      <w:r>
        <w:rPr>
          <w:rFonts w:hint="default"/>
          <w:lang w:val="en-US" w:eastAsia="zh-CN"/>
        </w:rPr>
        <w:t>：</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88"/>
        <w:gridCol w:w="1117"/>
        <w:gridCol w:w="770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序号</w:t>
            </w:r>
          </w:p>
        </w:tc>
        <w:tc>
          <w:tcPr>
            <w:tcW w:w="275" w:type="pct"/>
            <w:vAlign w:val="center"/>
          </w:tcPr>
          <w:p>
            <w:pPr>
              <w:jc w:val="center"/>
              <w:rPr>
                <w:rFonts w:hint="default"/>
                <w:vertAlign w:val="baseline"/>
                <w:lang w:val="en-US" w:eastAsia="zh-CN"/>
              </w:rPr>
            </w:pPr>
            <w:r>
              <w:rPr>
                <w:rFonts w:hint="eastAsia"/>
                <w:vertAlign w:val="baseline"/>
                <w:lang w:val="en-US" w:eastAsia="zh-CN"/>
              </w:rPr>
              <w:t>类别</w:t>
            </w:r>
          </w:p>
        </w:tc>
        <w:tc>
          <w:tcPr>
            <w:tcW w:w="523" w:type="pct"/>
            <w:vAlign w:val="center"/>
          </w:tcPr>
          <w:p>
            <w:pPr>
              <w:jc w:val="center"/>
              <w:rPr>
                <w:rFonts w:hint="default"/>
                <w:vertAlign w:val="baseline"/>
                <w:lang w:val="en-US" w:eastAsia="zh-CN"/>
              </w:rPr>
            </w:pPr>
            <w:r>
              <w:rPr>
                <w:rFonts w:hint="eastAsia"/>
                <w:vertAlign w:val="baseline"/>
                <w:lang w:val="en-US" w:eastAsia="zh-CN"/>
              </w:rPr>
              <w:t>产品名称</w:t>
            </w:r>
          </w:p>
        </w:tc>
        <w:tc>
          <w:tcPr>
            <w:tcW w:w="3606" w:type="pct"/>
            <w:vAlign w:val="center"/>
          </w:tcPr>
          <w:p>
            <w:pPr>
              <w:jc w:val="center"/>
              <w:rPr>
                <w:rFonts w:hint="default"/>
                <w:vertAlign w:val="baseline"/>
                <w:lang w:val="en-US" w:eastAsia="zh-CN"/>
              </w:rPr>
            </w:pPr>
            <w:r>
              <w:rPr>
                <w:rFonts w:hint="eastAsia"/>
                <w:vertAlign w:val="baseline"/>
                <w:lang w:val="en-US" w:eastAsia="zh-CN"/>
              </w:rPr>
              <w:t>技术参数</w:t>
            </w:r>
          </w:p>
        </w:tc>
        <w:tc>
          <w:tcPr>
            <w:tcW w:w="347" w:type="pct"/>
            <w:vAlign w:val="center"/>
          </w:tcPr>
          <w:p>
            <w:pPr>
              <w:jc w:val="center"/>
              <w:rPr>
                <w:rFonts w:hint="default"/>
                <w:vertAlign w:val="baseline"/>
                <w:lang w:val="en-US" w:eastAsia="zh-CN"/>
              </w:rPr>
            </w:pPr>
            <w:r>
              <w:rPr>
                <w:rFonts w:hint="eastAsia"/>
                <w:vertAlign w:val="baseline"/>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1</w:t>
            </w:r>
          </w:p>
        </w:tc>
        <w:tc>
          <w:tcPr>
            <w:tcW w:w="275" w:type="pct"/>
            <w:vMerge w:val="restart"/>
            <w:vAlign w:val="center"/>
          </w:tcPr>
          <w:p>
            <w:pPr>
              <w:jc w:val="center"/>
              <w:rPr>
                <w:rFonts w:hint="default"/>
                <w:vertAlign w:val="baseline"/>
                <w:lang w:val="en-US" w:eastAsia="zh-CN"/>
              </w:rPr>
            </w:pPr>
            <w:r>
              <w:rPr>
                <w:rFonts w:hint="eastAsia"/>
                <w:vertAlign w:val="baseline"/>
                <w:lang w:val="en-US" w:eastAsia="zh-CN"/>
              </w:rPr>
              <w:t>产科</w:t>
            </w: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vertAlign w:val="baseline"/>
                <w:lang w:val="en-US" w:eastAsia="zh-CN"/>
              </w:rPr>
            </w:pPr>
            <w:r>
              <w:rPr>
                <w:rFonts w:hint="eastAsia" w:ascii="宋体" w:hAnsi="宋体"/>
                <w:bCs/>
                <w:sz w:val="21"/>
                <w:szCs w:val="21"/>
                <w:vertAlign w:val="baseline"/>
              </w:rPr>
              <w:t>宫颈消退模块</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1、可快速安装在半身助产模型上，模拟训练宫颈扩张与消退的培训，它可用于分娩第一产程潜伏期和活跃期管理的培训。</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2、可用于评估及Bishop评分。</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★3、可用于评估宫颈扩张 (1-10cm)。</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★4、可用于评估宫颈消退  (0-100%)。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5、可用于评估宫颈成熟度/均匀性（软、软硬适中、硬）。</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★6、可用于评估宫颈位置（-3至+3）。</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★7、可用于评估胎头高度(-3 to +3)。</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8、评估胎膜及人工破膜术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9、评估胎先露（枕前位、顶先露、额先露、面先露、臀先露、头先露）以及囟门和产瘤的形成。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10、可呈现宫颈展平、扩张和成熟结构和插入件，与Bishop评分相对应。</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11、其定位结构允许使用者调整胎头高度以及宫颈的扩张和倾斜程度，而无需将插入件从模型中取出。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12、其动态定位机制允许使用者调整产程活跃期的宫颈扩张程度。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13、其标记允许导师知道胎儿在模型中的位置。</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2</w:t>
            </w:r>
          </w:p>
        </w:tc>
        <w:tc>
          <w:tcPr>
            <w:tcW w:w="275" w:type="pct"/>
            <w:vMerge w:val="continue"/>
            <w:vAlign w:val="center"/>
          </w:tcPr>
          <w:p>
            <w:pPr>
              <w:jc w:val="center"/>
              <w:rPr>
                <w:rFonts w:hint="default"/>
                <w:vertAlign w:val="baseline"/>
                <w:lang w:val="en-US" w:eastAsia="zh-CN"/>
              </w:rPr>
            </w:pP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vertAlign w:val="baseline"/>
                <w:lang w:val="en-US" w:eastAsia="zh-CN"/>
              </w:rPr>
            </w:pPr>
            <w:r>
              <w:rPr>
                <w:rFonts w:hint="default"/>
                <w:vertAlign w:val="baseline"/>
                <w:lang w:val="en-US" w:eastAsia="zh-CN"/>
              </w:rPr>
              <w:t>产后大出血训练模型</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一、主要用途：搭配在助产训练模型上，用于练习产后大出血。                                                                                                                  二、基本配置：大出血模块1套。                                                                                                                                                   三、主要参数：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3.1可进行产后大出血的管理，进行宫底按摩、双手按压、止血球囊插入和处理的操作。                                                                                                                            ★3.12可评估出血量，出血量不低于1.8L，可模拟血流和控制子宫的松弛状态，松弛的子宫在按摩时可模拟收缩。</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★3.13产后大出血管理：宫底按摩、双手按压、止血球囊插入和处理</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3</w:t>
            </w:r>
          </w:p>
        </w:tc>
        <w:tc>
          <w:tcPr>
            <w:tcW w:w="275" w:type="pct"/>
            <w:vMerge w:val="continue"/>
            <w:vAlign w:val="center"/>
          </w:tcPr>
          <w:p>
            <w:pPr>
              <w:jc w:val="center"/>
              <w:rPr>
                <w:rFonts w:hint="default"/>
                <w:vertAlign w:val="baseline"/>
                <w:lang w:val="en-US" w:eastAsia="zh-CN"/>
              </w:rPr>
            </w:pP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vertAlign w:val="baseline"/>
                <w:lang w:val="en-US" w:eastAsia="zh-CN"/>
              </w:rPr>
            </w:pPr>
            <w:r>
              <w:rPr>
                <w:rFonts w:hint="default"/>
                <w:vertAlign w:val="baseline"/>
                <w:lang w:val="en-US" w:eastAsia="zh-CN"/>
              </w:rPr>
              <w:t>剖宫产训练模型</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一、主要用途：搭配在助产训练模型上，用于剖宫产练习。                                                                                                                  二、基本配置：剖宫产模块1套。                                                                                                                                                   三、主要参数：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 xml:space="preserve">3.1可用于横切剖宫产手术技巧的练习，以及腹壁的缝合和子宫壁的体内修复。还可用于练习横位难产胎儿的分娩。                                                                                                                          ★3.2可训练腹壁和子宫壁的切开和缝合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 xml:space="preserve">1) 头位和臀位分分娩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 xml:space="preserve">2) 器械辅助分娩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3) 胎盘娩出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vertAlign w:val="baseline"/>
                <w:lang w:val="en-US" w:eastAsia="zh-CN"/>
              </w:rPr>
            </w:pPr>
            <w:r>
              <w:rPr>
                <w:rFonts w:hint="default"/>
                <w:vertAlign w:val="baseline"/>
                <w:lang w:val="en-US" w:eastAsia="zh-CN"/>
              </w:rPr>
              <w:t>3.3急诊剖宫产中的团队合作及人为因素的培训</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4</w:t>
            </w:r>
          </w:p>
        </w:tc>
        <w:tc>
          <w:tcPr>
            <w:tcW w:w="275" w:type="pct"/>
            <w:vMerge w:val="continue"/>
            <w:vAlign w:val="center"/>
          </w:tcPr>
          <w:p>
            <w:pPr>
              <w:jc w:val="center"/>
              <w:rPr>
                <w:rFonts w:hint="default"/>
                <w:vertAlign w:val="baseline"/>
                <w:lang w:val="en-US" w:eastAsia="zh-CN"/>
              </w:rPr>
            </w:pP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vertAlign w:val="baseline"/>
                <w:lang w:val="en-US" w:eastAsia="zh-CN"/>
              </w:rPr>
            </w:pPr>
            <w:r>
              <w:rPr>
                <w:rFonts w:hint="default"/>
                <w:vertAlign w:val="baseline"/>
                <w:lang w:val="en-US" w:eastAsia="zh-CN"/>
              </w:rPr>
              <w:t>外阴切开修复训练器</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一、主要用途：用于外阴切开综合性训练。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二、配置：外阴切开模型1套，说明书1份。</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三、技术参数：</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3.1用于教授、练习外阴切开、缝合技能以及外阴切开和撕裂修复术。侧线切开一度到二度修复。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3.2材质逼真再现会阴部被拉伸的状态。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3.3皮肤柔软，可拖拽及强度类似人类皮肤。</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3.4会阴部全部的解剖结构。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3.5包括收缩肛门外括约肌。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★3.6外阴切开术和会阴修复术模块呈现以下逼真的解剖构造：一度和二度会阴修复。识别和处理组织层，练习深层肌肉缝合，皮下缝合，表面缝合。会阴皮肤；浅表肌肉结构和相关缝合层。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★3.7搭配专用夹具，可将训练器固定在桌子上。</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1</w:t>
            </w:r>
          </w:p>
        </w:tc>
        <w:tc>
          <w:tcPr>
            <w:tcW w:w="275" w:type="pct"/>
            <w:vMerge w:val="restart"/>
            <w:vAlign w:val="center"/>
          </w:tcPr>
          <w:p>
            <w:pPr>
              <w:jc w:val="center"/>
              <w:rPr>
                <w:rFonts w:hint="default"/>
                <w:vertAlign w:val="baseline"/>
                <w:lang w:val="en-US" w:eastAsia="zh-CN"/>
              </w:rPr>
            </w:pPr>
            <w:r>
              <w:rPr>
                <w:rFonts w:hint="eastAsia"/>
                <w:vertAlign w:val="baseline"/>
                <w:lang w:val="en-US" w:eastAsia="zh-CN"/>
              </w:rPr>
              <w:t>妇科</w:t>
            </w:r>
          </w:p>
        </w:tc>
        <w:tc>
          <w:tcPr>
            <w:tcW w:w="523" w:type="pct"/>
            <w:vAlign w:val="center"/>
          </w:tcPr>
          <w:p>
            <w:pPr>
              <w:jc w:val="center"/>
              <w:rPr>
                <w:rFonts w:hint="default"/>
                <w:vertAlign w:val="baseline"/>
                <w:lang w:val="en-US" w:eastAsia="zh-CN"/>
              </w:rPr>
            </w:pPr>
            <w:r>
              <w:rPr>
                <w:rFonts w:hint="eastAsia"/>
                <w:vertAlign w:val="baseline"/>
                <w:lang w:val="en-US" w:eastAsia="zh-CN"/>
              </w:rPr>
              <w:t>子宫病变模型</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该模型为成年女性躯干下半部由腹腔、盆腔二部分组成。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eastAsia"/>
                <w:vertAlign w:val="baseline"/>
                <w:lang w:val="en-US" w:eastAsia="zh-CN"/>
              </w:rPr>
              <w:t>技术参数</w:t>
            </w:r>
            <w:r>
              <w:rPr>
                <w:rFonts w:hint="default"/>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正常和各类异常子宫触诊；妇科双合诊、三合诊的检查；阴道窥器和阴道镜的检查；肉眼观察正常和各类异常病变宫颈；宫内节育器的放置与取出；观察隔膜的大小和位置；观察子宫、卵巢、输卵管、圆带和其它位于盆腔的解剖结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eastAsia"/>
                <w:vertAlign w:val="baseline"/>
                <w:lang w:val="en-US" w:eastAsia="zh-CN"/>
              </w:rPr>
              <w:t xml:space="preserve">2. </w:t>
            </w:r>
            <w:r>
              <w:rPr>
                <w:rFonts w:hint="default"/>
                <w:vertAlign w:val="baseline"/>
                <w:lang w:val="en-US" w:eastAsia="zh-CN"/>
              </w:rPr>
              <w:t>可更换宫颈模型11个和子宫和附件模型9个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eastAsia"/>
                <w:vertAlign w:val="baseline"/>
                <w:lang w:val="en-US" w:eastAsia="zh-CN"/>
              </w:rPr>
              <w:t xml:space="preserve">3. </w:t>
            </w:r>
            <w:r>
              <w:rPr>
                <w:rFonts w:hint="default"/>
                <w:vertAlign w:val="baseline"/>
                <w:lang w:val="en-US" w:eastAsia="zh-CN"/>
              </w:rPr>
              <w:t>内部结构组成部件:正常与异常宫颈模型；正常宫颈模型；正常宫颈(初产妇,宫颈口为圆孔)；宫内节育器放置与取出正常宫颈；宫颈病理模型：宫颈撕裂(3、9点处多见,可撕到边缘,裂痕为鲜红色);慢性宫颈炎(中度糜烂,宫颈稍大,粉红颜色代有白分泌物);急性宫颈炎(下唇肿大,血管充血,宫颈为鲜红色,颗粒状,小米大小);官颈炎症纳博特囊肿(半球状突出,黄豆或绿豆大小,多个,胶水样,与宫颈颜色一致);滴虫性宫颈炎(弥漫分布细点状出血斑点,呈草莓状,表面平坦,分泌物带黄白色);宫颈尖锐湿疣(白色乳头状疣,有指样突起,菜花状,颗粒小,内口翻出)；宫颈白斑(白癜风样白斑,白色):宫颈息肉(从宫颈内口翻出,蒂细小,容易出血,色浅);宫颈腺癌(菜花状,癌组织易出血,有异形血管,污灰色);正常与异常子宫和附件模型正常子宫和附件模型；宫内节育器放置与取出正常子宫和附件(子宫前部透明)；正常子宫和附件；异常子宫和附件模型：子宫伴有明显前倾、前屈(用气球使气囊充气来调节子宫位置)；子宫伴有明显后倾、后屈(用气球使气囊放气来调节子宫位置)；子宫肌瘤；子宫伴有右侧输卵管卵巢囊肿；子宫伴有右侧输卵管积水；子宫伴有右侧输卵管结核；子宫伴有右侧输卵管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奸娠子宫触诊模型(五个月大小胎儿子宫)异位妊娠触诊模型(一侧输卵管壶腹部妊娠)；输卵管阻塞诊断模型(一侧输卵管阻塞)</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2</w:t>
            </w:r>
          </w:p>
        </w:tc>
        <w:tc>
          <w:tcPr>
            <w:tcW w:w="275" w:type="pct"/>
            <w:vMerge w:val="continue"/>
            <w:vAlign w:val="center"/>
          </w:tcPr>
          <w:p>
            <w:pPr>
              <w:jc w:val="center"/>
              <w:rPr>
                <w:rFonts w:hint="default"/>
                <w:vertAlign w:val="baseline"/>
                <w:lang w:val="en-US" w:eastAsia="zh-CN"/>
              </w:rPr>
            </w:pPr>
          </w:p>
        </w:tc>
        <w:tc>
          <w:tcPr>
            <w:tcW w:w="523" w:type="pct"/>
            <w:vAlign w:val="center"/>
          </w:tcPr>
          <w:p>
            <w:pPr>
              <w:jc w:val="center"/>
              <w:rPr>
                <w:rFonts w:hint="default"/>
                <w:vertAlign w:val="baseline"/>
                <w:lang w:val="en-US" w:eastAsia="zh-CN"/>
              </w:rPr>
            </w:pPr>
            <w:r>
              <w:rPr>
                <w:rFonts w:hint="default"/>
                <w:vertAlign w:val="baseline"/>
                <w:lang w:val="en-US" w:eastAsia="zh-CN"/>
              </w:rPr>
              <w:t>卵巢病变模型</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该模型为成年女性躯干下半部由腹腔、盆腔二部分组成。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eastAsia"/>
                <w:vertAlign w:val="baseline"/>
                <w:lang w:val="en-US" w:eastAsia="zh-CN"/>
              </w:rPr>
              <w:t>技术参数</w:t>
            </w:r>
            <w:r>
              <w:rPr>
                <w:rFonts w:hint="default"/>
                <w:vertAlign w:val="baseli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正常和各类异常子宫触诊；妇科双合诊、三合诊的检查；阴道窥器和阴道镜的检查；肉眼观察正常和各类异常病变宫颈；宫内节育器的放置与取出；观察隔膜的大小和位置；观察子宫、卵巢、输卵管、圆带和其它位于盆腔的解剖结构。</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0" w:firstLineChars="0"/>
              <w:textAlignment w:val="auto"/>
              <w:rPr>
                <w:rFonts w:hint="default"/>
                <w:vertAlign w:val="baseline"/>
                <w:lang w:val="en-US" w:eastAsia="zh-CN"/>
              </w:rPr>
            </w:pPr>
            <w:r>
              <w:rPr>
                <w:rFonts w:hint="default"/>
                <w:vertAlign w:val="baseline"/>
                <w:lang w:val="en-US" w:eastAsia="zh-CN"/>
              </w:rPr>
              <w:t>可更换宫颈模型11个和子宫和附件模型9个</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内部结构组成部件:正常与异常宫颈模型；正常宫颈模型；正常宫颈(初产妇,宫颈口为圆孔)；宫内节育器放置与取出正常宫颈；宫颈病理模型：宫颈撕裂(3、9点处多见,可撕到边缘,裂痕为鲜红色);慢性宫颈炎(中度糜烂,宫颈稍大,粉红颜色代有白分泌物);急性宫颈炎(下唇肿大,血管充血,宫颈为鲜红色,颗粒状,小米大小);官颈炎症纳博特囊肿(半球状突出,黄豆或绿豆大小,多个,胶水样,与宫颈颜色一致);滴虫性宫颈炎(弥漫分布细点状出血斑点,呈草莓状,表面平坦,分泌物带黄白色);宫颈尖锐湿疣(白色乳头状疣,有指样突起,菜花状,颗粒小,内口翻出)；宫颈白斑(白癜风样白斑,白色):宫颈息肉(从宫颈内口翻出,蒂细小,容易出血,色浅);宫颈腺癌(菜花状,癌组织易出血,有异形血管,污灰色);正常与异常子宫和附件模型正常子宫和附件模型；宫内节育器放置与取出正常子宫和附件(子宫前部透明)；正常子宫和附件；异常子宫和附件模型：子宫伴有明显前倾、前屈(用气球使气囊充气来调节子宫位置)；子宫伴有明显后倾、后屈(用气球使气囊放气来调节子宫位置)；子宫肌瘤；子宫伴有右侧输卵管卵巢囊肿；子宫伴有右侧输卵管积水；子宫伴有右侧输卵管结核；子宫伴有右侧输卵管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奸娠子宫触诊模型(五个月大小胎儿子宫)异位妊娠触诊模型(一侧输卵管壶腹部妊娠)；输卵管阻塞诊断模型(一侧输卵管阻塞)</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3</w:t>
            </w:r>
          </w:p>
        </w:tc>
        <w:tc>
          <w:tcPr>
            <w:tcW w:w="275" w:type="pct"/>
            <w:vMerge w:val="continue"/>
            <w:vAlign w:val="center"/>
          </w:tcPr>
          <w:p>
            <w:pPr>
              <w:jc w:val="center"/>
              <w:rPr>
                <w:rFonts w:hint="default"/>
                <w:vertAlign w:val="baseline"/>
                <w:lang w:val="en-US" w:eastAsia="zh-CN"/>
              </w:rPr>
            </w:pPr>
          </w:p>
        </w:tc>
        <w:tc>
          <w:tcPr>
            <w:tcW w:w="523" w:type="pct"/>
            <w:vAlign w:val="center"/>
          </w:tcPr>
          <w:p>
            <w:pPr>
              <w:jc w:val="center"/>
              <w:rPr>
                <w:rFonts w:hint="default"/>
                <w:vertAlign w:val="baseline"/>
                <w:lang w:val="en-US" w:eastAsia="zh-CN"/>
              </w:rPr>
            </w:pPr>
            <w:r>
              <w:rPr>
                <w:rFonts w:hint="default"/>
                <w:vertAlign w:val="baseline"/>
                <w:lang w:val="en-US" w:eastAsia="zh-CN"/>
              </w:rPr>
              <w:t>妇科检查操作模型</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正常和各类异常子宫触诊。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妇科双合诊、三合诊的检查。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阴道窥器和阴道镜的检查。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肉眼观察正常和各类异常病变宫颈。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观察隔膜的大小和位置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宫腔镜检查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可视化腹腔镜检查,观察子宫,附件和圆带等宫腔结构,妊娠与产后子宫模型触诊检查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表面具有交互感应位置,对此位置通过手持平板终端进行扫描感应。自动下载交互软件。软件内容为妇科检查技能操作,通过交互式的选择,用动画形式教学技能训练准备。软件内提供五例以上的病例,含病人资料,既往史,影像学检查资料信息。软件显示患者生命体征,包括(血压、脉搏、体温值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软件内显示人体解剖结构示意图。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放件内提供器械图库,供训练者进行选择,选择正确错误与否具有提示。可以交互的对每一步操作进行选择,自动进行正确与否的判断,并统计成绩。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软件可以设置考核模式、训练模式。其中训练模式操作错误有详细提示引导学生进行练习操作。成绩单可以进行无线打印。</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4</w:t>
            </w:r>
          </w:p>
        </w:tc>
        <w:tc>
          <w:tcPr>
            <w:tcW w:w="275" w:type="pct"/>
            <w:vMerge w:val="continue"/>
            <w:vAlign w:val="center"/>
          </w:tcPr>
          <w:p>
            <w:pPr>
              <w:jc w:val="center"/>
              <w:rPr>
                <w:rFonts w:hint="default"/>
                <w:vertAlign w:val="baseline"/>
                <w:lang w:val="en-US" w:eastAsia="zh-CN"/>
              </w:rPr>
            </w:pPr>
          </w:p>
        </w:tc>
        <w:tc>
          <w:tcPr>
            <w:tcW w:w="523" w:type="pct"/>
            <w:vAlign w:val="center"/>
          </w:tcPr>
          <w:p>
            <w:pPr>
              <w:jc w:val="center"/>
              <w:rPr>
                <w:rFonts w:hint="default"/>
                <w:vertAlign w:val="baseline"/>
                <w:lang w:val="en-US" w:eastAsia="zh-CN"/>
              </w:rPr>
            </w:pPr>
            <w:r>
              <w:rPr>
                <w:rFonts w:hint="default"/>
                <w:vertAlign w:val="baseline"/>
                <w:lang w:val="en-US" w:eastAsia="zh-CN"/>
              </w:rPr>
              <w:t>宫颈疾病模型</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该模型为成年女性躯干下半部由腹腔、盆腔二部分组成。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eastAsia"/>
                <w:vertAlign w:val="baseline"/>
                <w:lang w:val="en-US" w:eastAsia="zh-CN"/>
              </w:rPr>
              <w:t>技术参数</w:t>
            </w:r>
            <w:r>
              <w:rPr>
                <w:rFonts w:hint="default"/>
                <w:vertAlign w:val="baseli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正常和各类异常子宫触诊；妇科双合诊、三合诊的检查；阴道窥器和阴道镜的检查；肉眼观察正常和各类异常病变宫颈；宫内节育器的放置与取出；观察隔膜的大小和位置；观察子宫、卵巢、输卵管、圆带和其它位于盆腔的解剖结构。</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default"/>
                <w:vertAlign w:val="baseline"/>
                <w:lang w:val="en-US" w:eastAsia="zh-CN"/>
              </w:rPr>
            </w:pPr>
            <w:r>
              <w:rPr>
                <w:rFonts w:hint="default"/>
                <w:vertAlign w:val="baseline"/>
                <w:lang w:val="en-US" w:eastAsia="zh-CN"/>
              </w:rPr>
              <w:t>可更换宫颈模型11个和子宫和附件模型9个</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left="0" w:leftChars="0" w:firstLine="0" w:firstLineChars="0"/>
              <w:textAlignment w:val="auto"/>
              <w:rPr>
                <w:rFonts w:hint="default"/>
                <w:vertAlign w:val="baseline"/>
                <w:lang w:val="en-US" w:eastAsia="zh-CN"/>
              </w:rPr>
            </w:pPr>
            <w:r>
              <w:rPr>
                <w:rFonts w:hint="default"/>
                <w:vertAlign w:val="baseline"/>
                <w:lang w:val="en-US" w:eastAsia="zh-CN"/>
              </w:rPr>
              <w:t>内部结构组成部件:正常与异常宫颈模型；正常宫颈模型；正常宫颈(初产妇,宫颈口为圆孔)；宫内节育器放置与取出正常宫颈；宫颈病理模型：宫颈撕裂(3、9点处多见,可撕到边缘,裂痕为鲜红色);慢性宫颈炎(中度糜烂,宫颈稍大,粉红颜色代有白分泌物);急性宫颈炎(下唇肿大,血管充血,宫颈为鲜红色,颗粒状,小米大小);官颈炎症纳博特囊肿(半球状突出,黄豆或绿豆大小,多个,胶水样,与宫颈颜色一致);滴虫性宫颈炎(弥漫分布细点状出血斑点,呈草莓状,表面平坦,分泌物带黄白色);宫颈尖锐湿疣(白色乳头状疣,有指样突起,菜花状,颗粒小,内口翻出)；宫颈白斑(白癜风样白斑,白色):宫颈息肉(从宫颈内口翻出,蒂细小,容易出血,色浅);宫颈腺癌(菜花状,癌组织易出血,有异形血管,污灰色);正常与异常子宫和附件模型正常子宫和附件模型；宫内节育器放置与取出正常子宫和附件(子宫前部透明)；正常子宫和附件；异常子宫和附件模型：子宫伴有明显前倾、前屈(用气球使气囊充气来调节子宫位置)；子宫伴有明显后倾、后屈(用气球使气囊放气来调节子宫位置)；子宫肌瘤；子宫伴有右侧输卵管卵巢囊肿；子宫伴有右侧输卵管积水；子宫伴有右侧输卵管结核；子宫伴有右侧输卵管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奸娠子宫触诊模型(五个月大小胎儿子宫)异位妊娠触诊模型(一侧输卵管壶腹部妊娠)；输卵管阻塞诊断模型(一侧输卵管阻塞)</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vAlign w:val="center"/>
          </w:tcPr>
          <w:p>
            <w:pPr>
              <w:jc w:val="center"/>
              <w:rPr>
                <w:rFonts w:hint="default"/>
                <w:vertAlign w:val="baseline"/>
                <w:lang w:val="en-US" w:eastAsia="zh-CN"/>
              </w:rPr>
            </w:pPr>
            <w:r>
              <w:rPr>
                <w:rFonts w:hint="eastAsia"/>
                <w:vertAlign w:val="baseline"/>
                <w:lang w:val="en-US" w:eastAsia="zh-CN"/>
              </w:rPr>
              <w:t>5</w:t>
            </w:r>
          </w:p>
        </w:tc>
        <w:tc>
          <w:tcPr>
            <w:tcW w:w="275" w:type="pct"/>
            <w:vMerge w:val="continue"/>
            <w:vAlign w:val="center"/>
          </w:tcPr>
          <w:p>
            <w:pPr>
              <w:jc w:val="center"/>
              <w:rPr>
                <w:rFonts w:hint="default"/>
                <w:vertAlign w:val="baseline"/>
                <w:lang w:val="en-US" w:eastAsia="zh-CN"/>
              </w:rPr>
            </w:pPr>
          </w:p>
        </w:tc>
        <w:tc>
          <w:tcPr>
            <w:tcW w:w="523" w:type="pct"/>
            <w:vAlign w:val="center"/>
          </w:tcPr>
          <w:p>
            <w:pPr>
              <w:jc w:val="center"/>
              <w:rPr>
                <w:rFonts w:hint="default"/>
                <w:vertAlign w:val="baseline"/>
                <w:lang w:val="en-US" w:eastAsia="zh-CN"/>
              </w:rPr>
            </w:pPr>
            <w:r>
              <w:rPr>
                <w:rFonts w:hint="default"/>
                <w:vertAlign w:val="baseline"/>
                <w:lang w:val="en-US" w:eastAsia="zh-CN"/>
              </w:rPr>
              <w:t>乳腺检查模型</w:t>
            </w:r>
          </w:p>
        </w:tc>
        <w:tc>
          <w:tcPr>
            <w:tcW w:w="3606" w:type="pct"/>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乳房癌肿块位于左侧乳房外上方象限,质地硬,固定,表面不规则,约3cm大小,表面皮肤凹陷。</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乳房纤维腺瘤(良性)肿块位于左侧乳房外下方象限,质地硬似橡皮感觉,可移动,约2cm大小。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左侧颈部锁骨上淋巴结肿大,约2cm大小,质地坚硬,粘连。</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左侧腋淋巴结肿大,质地硬,约2cm大小,可移动。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左侧乳头破溃、出血、凹陷。左侧乳房皮肤橘皮样变。</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乳房脓肿(炎症)肿块位于左侧乳房内上方象限,质地软似有波动感觉,可移动,约2cm大小。</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乳房脂肪瘤(良性)位于左侧乳房内下方象限,约2cm大小,质地软,边缘感觉明显。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右侧乳房癌切除术,术后橡皮管引流。右侧腋淋巴结肿大,地硬,大小各一,粘连固定。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可以在一侧乳房进行乳房切除术后护理训练。</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表面具有交互感应位置,对此位置通过手持平板终端进行扫描感应。自动下载交互软件。软件内容为乳腺检查技能,通过交互式的选择,用动画形式教学技能训练准备。软件内提供五例以上的病例,含病人资料既往史,影像学检查资料信息。软件显示患者生命体征,包括(血压、脉搏、体温值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软件内显示乳腺检查病变分类,对应相应的教学模块。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软件内提供器械图库,供训练者进行选择,选择正确错误与否具有提示。可以交互的对每一步操作进行选择,自动进行正确与否的判断,并统计成绩。</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vertAlign w:val="baseline"/>
                <w:lang w:val="en-US" w:eastAsia="zh-CN"/>
              </w:rPr>
            </w:pPr>
            <w:r>
              <w:rPr>
                <w:rFonts w:hint="default"/>
                <w:vertAlign w:val="baseline"/>
                <w:lang w:val="en-US" w:eastAsia="zh-CN"/>
              </w:rPr>
              <w:t>软件可以设置考核模式么训练模式。其中训练模式操作错误有详细提示引导学生进行练习操作。成绩单可以进行无线打印。</w:t>
            </w:r>
          </w:p>
        </w:tc>
        <w:tc>
          <w:tcPr>
            <w:tcW w:w="347" w:type="pct"/>
            <w:vAlign w:val="center"/>
          </w:tcPr>
          <w:p>
            <w:pPr>
              <w:jc w:val="center"/>
              <w:rPr>
                <w:rFonts w:hint="default"/>
                <w:vertAlign w:val="baseline"/>
                <w:lang w:val="en-US" w:eastAsia="zh-CN"/>
              </w:rPr>
            </w:pPr>
            <w:r>
              <w:rPr>
                <w:rFonts w:hint="eastAsia"/>
                <w:vertAlign w:val="baseline"/>
                <w:lang w:val="en-US" w:eastAsia="zh-CN"/>
              </w:rPr>
              <w:t>3</w:t>
            </w:r>
          </w:p>
        </w:tc>
      </w:tr>
    </w:tbl>
    <w:p>
      <w:pPr>
        <w:rPr>
          <w:rFonts w:hint="default"/>
          <w:lang w:val="en-US" w:eastAsia="zh-CN"/>
        </w:rPr>
      </w:pPr>
      <w:r>
        <w:rPr>
          <w:rFonts w:hint="eastAsia"/>
          <w:lang w:val="en-US" w:eastAsia="zh-CN"/>
        </w:rPr>
        <w:t>注：以上打</w:t>
      </w:r>
      <w:r>
        <w:rPr>
          <w:rFonts w:hint="default"/>
          <w:vertAlign w:val="baseline"/>
          <w:lang w:val="en-US" w:eastAsia="zh-CN"/>
        </w:rPr>
        <w:t>★</w:t>
      </w:r>
      <w:r>
        <w:rPr>
          <w:rFonts w:hint="eastAsia"/>
          <w:vertAlign w:val="baseline"/>
          <w:lang w:val="en-US" w:eastAsia="zh-CN"/>
        </w:rPr>
        <w:t>号的参数为重要参数，须在招标PPT中展现</w:t>
      </w:r>
    </w:p>
    <w:p>
      <w:pPr>
        <w:rPr>
          <w:rFonts w:hint="default"/>
          <w:lang w:val="en-US" w:eastAsia="zh-CN"/>
        </w:rPr>
      </w:pPr>
    </w:p>
    <w:p>
      <w:pPr>
        <w:rPr>
          <w:rFonts w:hint="default"/>
          <w:lang w:val="en-US" w:eastAsia="zh-CN"/>
        </w:rPr>
      </w:pPr>
    </w:p>
    <w:p>
      <w:pPr>
        <w:rPr>
          <w:rFonts w:hint="default"/>
          <w:lang w:val="en-US" w:eastAsia="zh-CN"/>
        </w:rPr>
      </w:pPr>
    </w:p>
    <w:p>
      <w:pPr>
        <w:spacing w:line="360" w:lineRule="auto"/>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附件2：法定代表人身份授权书</w:t>
      </w: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tabs>
          <w:tab w:val="left" w:pos="6300"/>
        </w:tabs>
        <w:spacing w:line="360" w:lineRule="auto"/>
        <w:rPr>
          <w:color w:val="auto"/>
          <w:sz w:val="24"/>
          <w:highlight w:val="none"/>
          <w:lang w:val="zh-CN"/>
        </w:rPr>
      </w:pPr>
      <w:r>
        <w:rPr>
          <w:color w:val="auto"/>
          <w:sz w:val="24"/>
          <w:highlight w:val="none"/>
          <w:u w:val="single"/>
          <w:lang w:val="zh-CN"/>
        </w:rPr>
        <w:t xml:space="preserve">                                      </w:t>
      </w:r>
      <w:r>
        <w:rPr>
          <w:rFonts w:hint="eastAsia" w:cs="宋体"/>
          <w:color w:val="auto"/>
          <w:sz w:val="24"/>
          <w:highlight w:val="none"/>
          <w:lang w:val="zh-CN"/>
        </w:rPr>
        <w:t>（采购单位名称）：</w:t>
      </w:r>
    </w:p>
    <w:p>
      <w:pPr>
        <w:tabs>
          <w:tab w:val="left" w:pos="720"/>
          <w:tab w:val="left" w:pos="6300"/>
        </w:tabs>
        <w:spacing w:line="360" w:lineRule="auto"/>
        <w:ind w:firstLine="573"/>
        <w:rPr>
          <w:color w:val="auto"/>
          <w:sz w:val="24"/>
          <w:highlight w:val="none"/>
          <w:u w:val="single"/>
          <w:lang w:val="zh-CN"/>
        </w:rPr>
      </w:pPr>
      <w:r>
        <w:rPr>
          <w:color w:val="auto"/>
          <w:sz w:val="24"/>
          <w:highlight w:val="none"/>
          <w:lang w:val="zh-CN"/>
        </w:rPr>
        <w:t xml:space="preserve">   </w:t>
      </w:r>
      <w:r>
        <w:rPr>
          <w:rFonts w:hint="eastAsia" w:cs="宋体"/>
          <w:color w:val="auto"/>
          <w:sz w:val="24"/>
          <w:highlight w:val="none"/>
          <w:lang w:val="zh-CN"/>
        </w:rPr>
        <w:t>本授权声明：</w:t>
      </w:r>
      <w:r>
        <w:rPr>
          <w:color w:val="auto"/>
          <w:sz w:val="24"/>
          <w:highlight w:val="none"/>
          <w:u w:val="single"/>
          <w:lang w:val="zh-CN"/>
        </w:rPr>
        <w:t xml:space="preserve">                         </w:t>
      </w:r>
      <w:r>
        <w:rPr>
          <w:rFonts w:hint="eastAsia" w:cs="宋体"/>
          <w:color w:val="auto"/>
          <w:sz w:val="24"/>
          <w:highlight w:val="none"/>
          <w:lang w:val="zh-CN"/>
        </w:rPr>
        <w:t>（投标人名称）</w:t>
      </w:r>
      <w:r>
        <w:rPr>
          <w:color w:val="auto"/>
          <w:sz w:val="24"/>
          <w:highlight w:val="none"/>
          <w:u w:val="single"/>
          <w:lang w:val="zh-CN"/>
        </w:rPr>
        <w:t xml:space="preserve">           </w:t>
      </w:r>
    </w:p>
    <w:p>
      <w:pPr>
        <w:tabs>
          <w:tab w:val="left" w:pos="720"/>
          <w:tab w:val="left" w:pos="6300"/>
        </w:tabs>
        <w:spacing w:line="360" w:lineRule="auto"/>
        <w:rPr>
          <w:rFonts w:ascii="宋体"/>
          <w:color w:val="auto"/>
          <w:sz w:val="24"/>
          <w:highlight w:val="none"/>
        </w:rPr>
      </w:pPr>
      <w:r>
        <w:rPr>
          <w:color w:val="auto"/>
          <w:sz w:val="24"/>
          <w:highlight w:val="none"/>
          <w:u w:val="single"/>
          <w:lang w:val="zh-CN"/>
        </w:rPr>
        <w:t xml:space="preserve">       </w:t>
      </w:r>
      <w:r>
        <w:rPr>
          <w:rFonts w:hint="eastAsia" w:cs="宋体"/>
          <w:color w:val="auto"/>
          <w:sz w:val="24"/>
          <w:highlight w:val="none"/>
          <w:lang w:val="zh-CN"/>
        </w:rPr>
        <w:t>（法定代表人姓名、职务）授权</w:t>
      </w:r>
      <w:r>
        <w:rPr>
          <w:color w:val="auto"/>
          <w:sz w:val="24"/>
          <w:highlight w:val="none"/>
          <w:u w:val="single"/>
          <w:lang w:val="zh-CN"/>
        </w:rPr>
        <w:t xml:space="preserve">                          </w:t>
      </w:r>
      <w:r>
        <w:rPr>
          <w:rFonts w:hint="eastAsia" w:cs="宋体"/>
          <w:color w:val="auto"/>
          <w:sz w:val="24"/>
          <w:highlight w:val="none"/>
          <w:lang w:val="zh-CN"/>
        </w:rPr>
        <w:t>（被授权人姓名、职务）为我方</w:t>
      </w:r>
      <w:r>
        <w:rPr>
          <w:color w:val="auto"/>
          <w:sz w:val="24"/>
          <w:highlight w:val="none"/>
          <w:u w:val="single"/>
          <w:lang w:val="zh-CN"/>
        </w:rPr>
        <w:t xml:space="preserve"> </w:t>
      </w:r>
      <w:r>
        <w:rPr>
          <w:rFonts w:hint="eastAsia" w:cs="宋体"/>
          <w:color w:val="auto"/>
          <w:sz w:val="24"/>
          <w:highlight w:val="none"/>
          <w:u w:val="single"/>
          <w:lang w:val="zh-CN"/>
        </w:rPr>
        <w:t>“</w:t>
      </w:r>
      <w:r>
        <w:rPr>
          <w:color w:val="auto"/>
          <w:sz w:val="24"/>
          <w:highlight w:val="none"/>
          <w:u w:val="single"/>
          <w:lang w:val="zh-CN"/>
        </w:rPr>
        <w:t xml:space="preserve">                                          </w:t>
      </w:r>
      <w:r>
        <w:rPr>
          <w:rFonts w:hint="eastAsia" w:cs="宋体"/>
          <w:color w:val="auto"/>
          <w:sz w:val="24"/>
          <w:highlight w:val="none"/>
          <w:u w:val="single"/>
          <w:lang w:val="zh-CN"/>
        </w:rPr>
        <w:t>”</w:t>
      </w:r>
      <w:r>
        <w:rPr>
          <w:rFonts w:hint="eastAsia" w:cs="宋体"/>
          <w:color w:val="auto"/>
          <w:sz w:val="24"/>
          <w:highlight w:val="none"/>
          <w:lang w:val="zh-CN"/>
        </w:rPr>
        <w:t>项目投标活动的合法代表，以我方名义全权处理该项目有关投标、签订合同以及执行合同等一切事宜。</w:t>
      </w:r>
    </w:p>
    <w:p>
      <w:pPr>
        <w:tabs>
          <w:tab w:val="left" w:pos="6300"/>
        </w:tabs>
        <w:spacing w:line="360" w:lineRule="auto"/>
        <w:ind w:firstLine="573"/>
        <w:rPr>
          <w:rFonts w:ascii="宋体"/>
          <w:color w:val="auto"/>
          <w:sz w:val="24"/>
          <w:highlight w:val="none"/>
        </w:rPr>
      </w:pPr>
      <w:r>
        <w:rPr>
          <w:rFonts w:hint="eastAsia" w:ascii="宋体" w:hAnsi="宋体" w:cs="宋体"/>
          <w:color w:val="auto"/>
          <w:sz w:val="24"/>
          <w:highlight w:val="none"/>
        </w:rPr>
        <w:t>特此声明。</w:t>
      </w:r>
    </w:p>
    <w:p>
      <w:pPr>
        <w:tabs>
          <w:tab w:val="left" w:pos="6300"/>
        </w:tabs>
        <w:spacing w:line="360" w:lineRule="auto"/>
        <w:ind w:firstLine="573"/>
        <w:rPr>
          <w:rFonts w:ascii="宋体"/>
          <w:color w:val="auto"/>
          <w:sz w:val="24"/>
          <w:highlight w:val="none"/>
        </w:rPr>
      </w:pPr>
      <w:r>
        <w:rPr>
          <w:rFonts w:hint="eastAsia" w:ascii="宋体" w:hAnsi="宋体" w:cs="宋体"/>
          <w:color w:val="auto"/>
          <w:sz w:val="24"/>
          <w:highlight w:val="none"/>
        </w:rPr>
        <w:t>法定代表人签字：</w:t>
      </w:r>
    </w:p>
    <w:p>
      <w:pPr>
        <w:tabs>
          <w:tab w:val="left" w:pos="6300"/>
        </w:tabs>
        <w:spacing w:line="360" w:lineRule="auto"/>
        <w:ind w:firstLine="573"/>
        <w:rPr>
          <w:rFonts w:ascii="宋体" w:hAnsi="宋体" w:cs="宋体"/>
          <w:color w:val="auto"/>
          <w:sz w:val="24"/>
          <w:highlight w:val="none"/>
        </w:rPr>
      </w:pPr>
      <w:r>
        <w:rPr>
          <w:rFonts w:hint="eastAsia" w:ascii="宋体" w:hAnsi="宋体" w:cs="宋体"/>
          <w:color w:val="auto"/>
          <w:sz w:val="24"/>
          <w:highlight w:val="none"/>
        </w:rPr>
        <w:t>授权代表签字：</w:t>
      </w:r>
    </w:p>
    <w:p>
      <w:pPr>
        <w:tabs>
          <w:tab w:val="left" w:pos="6300"/>
        </w:tabs>
        <w:spacing w:line="360" w:lineRule="auto"/>
        <w:ind w:firstLine="573"/>
        <w:rPr>
          <w:rFonts w:ascii="宋体" w:hAnsi="宋体" w:cs="宋体"/>
          <w:color w:val="auto"/>
          <w:sz w:val="24"/>
          <w:highlight w:val="none"/>
        </w:rPr>
      </w:pPr>
      <w:r>
        <w:rPr>
          <w:rFonts w:hint="eastAsia" w:ascii="宋体" w:hAnsi="宋体" w:cs="宋体"/>
          <w:color w:val="auto"/>
          <w:sz w:val="24"/>
          <w:highlight w:val="none"/>
        </w:rPr>
        <w:t>投标人名称：</w:t>
      </w:r>
      <w:r>
        <w:rPr>
          <w:rFonts w:ascii="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rPr>
        <w:t>（加盖公章）</w:t>
      </w:r>
    </w:p>
    <w:p>
      <w:pPr>
        <w:tabs>
          <w:tab w:val="left" w:pos="6300"/>
        </w:tabs>
        <w:spacing w:line="360" w:lineRule="auto"/>
        <w:ind w:firstLine="573"/>
        <w:rPr>
          <w:rFonts w:ascii="宋体"/>
          <w:color w:val="auto"/>
          <w:sz w:val="24"/>
          <w:highlight w:val="none"/>
        </w:rPr>
      </w:pPr>
      <w:r>
        <w:rPr>
          <w:rFonts w:hint="eastAsia" w:ascii="宋体" w:hAnsi="宋体" w:cs="宋体"/>
          <w:color w:val="auto"/>
          <w:sz w:val="24"/>
          <w:highlight w:val="none"/>
        </w:rPr>
        <w:t>日期：</w:t>
      </w:r>
    </w:p>
    <w:p>
      <w:pPr>
        <w:numPr>
          <w:ilvl w:val="0"/>
          <w:numId w:val="4"/>
        </w:numPr>
        <w:tabs>
          <w:tab w:val="left" w:pos="6300"/>
        </w:tabs>
        <w:spacing w:line="360" w:lineRule="auto"/>
        <w:rPr>
          <w:rFonts w:ascii="宋体"/>
          <w:color w:val="auto"/>
          <w:sz w:val="24"/>
          <w:highlight w:val="none"/>
        </w:rPr>
      </w:pPr>
      <w:r>
        <w:rPr>
          <w:rFonts w:hint="eastAsia" w:ascii="宋体" w:hAnsi="宋体" w:cs="宋体"/>
          <w:color w:val="auto"/>
          <w:sz w:val="24"/>
          <w:highlight w:val="none"/>
        </w:rPr>
        <w:t>说明：上述证明文件附有法定代表人、被授权代表身份证复印件（加盖公章）时才能生效。</w:t>
      </w: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numPr>
          <w:ilvl w:val="0"/>
          <w:numId w:val="0"/>
        </w:numPr>
        <w:tabs>
          <w:tab w:val="left" w:pos="6300"/>
        </w:tabs>
        <w:spacing w:line="360" w:lineRule="auto"/>
        <w:ind w:left="120" w:leftChars="0"/>
        <w:rPr>
          <w:rFonts w:hint="eastAsia" w:ascii="宋体" w:hAnsi="宋体" w:cs="宋体"/>
          <w:color w:val="auto"/>
          <w:sz w:val="24"/>
          <w:highlight w:val="none"/>
        </w:rPr>
      </w:pPr>
    </w:p>
    <w:p>
      <w:pPr>
        <w:spacing w:line="360" w:lineRule="auto"/>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附件3：采购文件书装订顺序</w:t>
      </w:r>
    </w:p>
    <w:p>
      <w:pPr>
        <w:spacing w:line="360" w:lineRule="auto"/>
        <w:rPr>
          <w:rFonts w:hint="eastAsia" w:ascii="仿宋_GB2312" w:hAnsi="宋体" w:eastAsia="仿宋_GB2312" w:cs="仿宋_GB2312"/>
          <w:b/>
          <w:bCs/>
          <w:sz w:val="28"/>
          <w:szCs w:val="28"/>
          <w:lang w:val="en-US" w:eastAsia="zh-CN"/>
        </w:rPr>
      </w:pP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1.封面（</w:t>
      </w:r>
      <w:r>
        <w:rPr>
          <w:rFonts w:hint="eastAsia" w:ascii="仿宋_GB2312" w:hAnsi="仿宋_GB2312" w:eastAsia="仿宋_GB2312" w:cs="仿宋_GB2312"/>
          <w:color w:val="auto"/>
          <w:sz w:val="30"/>
          <w:szCs w:val="30"/>
          <w:highlight w:val="none"/>
        </w:rPr>
        <w:t>注明包号、品目、公司名称、联系人、联系电话、加盖公司印章</w:t>
      </w:r>
      <w:r>
        <w:rPr>
          <w:rFonts w:hint="eastAsia" w:ascii="仿宋_GB2312" w:hAnsi="仿宋_GB2312" w:eastAsia="仿宋_GB2312" w:cs="仿宋_GB2312"/>
          <w:color w:val="auto"/>
          <w:spacing w:val="8"/>
          <w:sz w:val="30"/>
          <w:szCs w:val="30"/>
          <w:highlight w:val="none"/>
        </w:rPr>
        <w:t>）。</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2.目录。</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3.报价一览表（格式见附件</w:t>
      </w:r>
      <w:r>
        <w:rPr>
          <w:rFonts w:hint="eastAsia" w:ascii="仿宋_GB2312" w:hAnsi="仿宋_GB2312" w:eastAsia="仿宋_GB2312" w:cs="仿宋_GB2312"/>
          <w:color w:val="auto"/>
          <w:spacing w:val="8"/>
          <w:sz w:val="30"/>
          <w:szCs w:val="30"/>
          <w:highlight w:val="none"/>
          <w:lang w:val="en-US" w:eastAsia="zh-CN"/>
        </w:rPr>
        <w:t>5</w:t>
      </w:r>
      <w:r>
        <w:rPr>
          <w:rFonts w:hint="eastAsia" w:ascii="仿宋_GB2312" w:hAnsi="仿宋_GB2312" w:eastAsia="仿宋_GB2312" w:cs="仿宋_GB2312"/>
          <w:color w:val="auto"/>
          <w:spacing w:val="8"/>
          <w:sz w:val="30"/>
          <w:szCs w:val="30"/>
          <w:highlight w:val="none"/>
        </w:rPr>
        <w:t>）。</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4.企业营业执照（复印件）。</w:t>
      </w:r>
    </w:p>
    <w:p>
      <w:pPr>
        <w:shd w:val="clear"/>
        <w:spacing w:line="400" w:lineRule="exact"/>
        <w:ind w:firstLine="632" w:firstLineChars="200"/>
        <w:rPr>
          <w:rFonts w:hint="eastAsia"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sz w:val="30"/>
          <w:szCs w:val="30"/>
          <w:highlight w:val="none"/>
        </w:rPr>
        <w:t>5.</w:t>
      </w:r>
      <w:r>
        <w:rPr>
          <w:rFonts w:hint="eastAsia" w:ascii="仿宋_GB2312" w:hAnsi="仿宋_GB2312" w:eastAsia="仿宋_GB2312" w:cs="仿宋_GB2312"/>
          <w:color w:val="auto"/>
          <w:sz w:val="30"/>
          <w:szCs w:val="30"/>
          <w:highlight w:val="none"/>
        </w:rPr>
        <w:t>组织机构代码证、税务登记证（复印件）。</w:t>
      </w:r>
    </w:p>
    <w:p>
      <w:pPr>
        <w:shd w:val="clear"/>
        <w:spacing w:line="400" w:lineRule="exact"/>
        <w:ind w:firstLine="632"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8"/>
          <w:sz w:val="30"/>
          <w:szCs w:val="30"/>
          <w:highlight w:val="none"/>
        </w:rPr>
        <w:t>6.</w:t>
      </w:r>
      <w:r>
        <w:rPr>
          <w:rFonts w:hint="eastAsia" w:ascii="仿宋_GB2312" w:hAnsi="仿宋_GB2312" w:eastAsia="仿宋_GB2312" w:cs="仿宋_GB2312"/>
          <w:color w:val="auto"/>
          <w:sz w:val="30"/>
          <w:szCs w:val="30"/>
          <w:highlight w:val="none"/>
        </w:rPr>
        <w:t>法定代表人授权书（原件，格式见附件2）暨经办人授权书，法人、经办人身份证（复印件）。</w:t>
      </w:r>
    </w:p>
    <w:p>
      <w:pPr>
        <w:shd w:val="clear"/>
        <w:spacing w:line="400" w:lineRule="exact"/>
        <w:ind w:firstLine="600" w:firstLineChars="2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7.生产厂家授权书（投标人不是生产厂家的）</w:t>
      </w:r>
    </w:p>
    <w:p>
      <w:pPr>
        <w:shd w:val="clear"/>
        <w:spacing w:line="400" w:lineRule="exact"/>
        <w:ind w:firstLine="632"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8"/>
          <w:sz w:val="30"/>
          <w:szCs w:val="30"/>
          <w:highlight w:val="none"/>
          <w:lang w:val="en-US" w:eastAsia="zh-CN"/>
        </w:rPr>
        <w:t>8</w:t>
      </w:r>
      <w:r>
        <w:rPr>
          <w:rFonts w:hint="eastAsia" w:ascii="仿宋_GB2312" w:hAnsi="仿宋_GB2312" w:eastAsia="仿宋_GB2312" w:cs="仿宋_GB2312"/>
          <w:color w:val="auto"/>
          <w:spacing w:val="8"/>
          <w:sz w:val="30"/>
          <w:szCs w:val="30"/>
          <w:highlight w:val="none"/>
        </w:rPr>
        <w:t>.</w:t>
      </w:r>
      <w:r>
        <w:rPr>
          <w:rFonts w:hint="eastAsia" w:ascii="仿宋_GB2312" w:hAnsi="仿宋_GB2312" w:eastAsia="仿宋_GB2312" w:cs="仿宋_GB2312"/>
          <w:color w:val="auto"/>
          <w:sz w:val="30"/>
          <w:szCs w:val="30"/>
          <w:highlight w:val="none"/>
        </w:rPr>
        <w:t>如有产品质量和企业管理体系认证（考核），请提供的有效证明文件的复印或扫描件，质量管理体系认证包括FDA、CE、ISO等认证（提供中文翻译复印件）。</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质量检测中心或法定机构出具的产品检测报告，性能自测报告，出厂检验报告的复印或扫描件</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如有其他证书：产品在技术、节能、安全、环保和自主创新方面获得的认证证书或制造厂家和产品所获国家级荣誉称号等复印或扫描件</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11.</w:t>
      </w:r>
      <w:r>
        <w:rPr>
          <w:rFonts w:hint="eastAsia" w:ascii="仿宋_GB2312" w:hAnsi="仿宋_GB2312" w:eastAsia="仿宋_GB2312" w:cs="仿宋_GB2312"/>
          <w:color w:val="auto"/>
          <w:sz w:val="30"/>
          <w:szCs w:val="30"/>
          <w:highlight w:val="none"/>
        </w:rPr>
        <w:t>产品如有执行标准请提供相应资料（提供产品注册标准：YZB等资料供评审）</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12.</w:t>
      </w:r>
      <w:r>
        <w:rPr>
          <w:rFonts w:hint="eastAsia" w:ascii="仿宋_GB2312" w:hAnsi="仿宋_GB2312" w:eastAsia="仿宋_GB2312" w:cs="仿宋_GB2312"/>
          <w:color w:val="auto"/>
          <w:sz w:val="30"/>
          <w:szCs w:val="30"/>
          <w:highlight w:val="none"/>
        </w:rPr>
        <w:t>产品质量及货源保证书</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13.</w:t>
      </w:r>
      <w:r>
        <w:rPr>
          <w:rFonts w:hint="eastAsia" w:ascii="仿宋_GB2312" w:hAnsi="仿宋_GB2312" w:eastAsia="仿宋_GB2312" w:cs="仿宋_GB2312"/>
          <w:color w:val="auto"/>
          <w:sz w:val="30"/>
          <w:szCs w:val="30"/>
          <w:highlight w:val="none"/>
        </w:rPr>
        <w:t>售后服务承诺书，包括质量保证范围，售后服务体系、人员培训计划等，并提供相关人员证明材料，要求见评分办法“售后服务”说明；</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14.</w:t>
      </w:r>
      <w:r>
        <w:rPr>
          <w:rFonts w:hint="eastAsia" w:ascii="仿宋_GB2312" w:hAnsi="仿宋_GB2312" w:eastAsia="仿宋_GB2312" w:cs="仿宋_GB2312"/>
          <w:color w:val="auto"/>
          <w:sz w:val="30"/>
          <w:szCs w:val="30"/>
          <w:highlight w:val="none"/>
        </w:rPr>
        <w:t>如有，提供进口原材料证明书或产品报关资料等</w:t>
      </w:r>
    </w:p>
    <w:p>
      <w:pPr>
        <w:shd w:val="clear"/>
        <w:spacing w:line="400" w:lineRule="exact"/>
        <w:ind w:firstLine="600" w:firstLineChars="200"/>
        <w:rPr>
          <w:rFonts w:ascii="Segoe UI" w:hAnsi="Segoe UI" w:eastAsia="宋体" w:cs="Segoe UI"/>
          <w:color w:val="333333"/>
          <w:kern w:val="0"/>
          <w:sz w:val="18"/>
          <w:szCs w:val="18"/>
        </w:rPr>
      </w:pP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产品说明书或与投标</w:t>
      </w:r>
      <w:r>
        <w:rPr>
          <w:rFonts w:hint="eastAsia" w:ascii="仿宋_GB2312" w:hAnsi="仿宋_GB2312" w:eastAsia="仿宋_GB2312" w:cs="仿宋_GB2312"/>
          <w:color w:val="auto"/>
          <w:sz w:val="30"/>
          <w:szCs w:val="30"/>
          <w:highlight w:val="none"/>
          <w:lang w:val="en-US" w:eastAsia="zh-CN"/>
        </w:rPr>
        <w:t>培训教具</w:t>
      </w:r>
      <w:r>
        <w:rPr>
          <w:rFonts w:hint="eastAsia" w:ascii="仿宋_GB2312" w:hAnsi="仿宋_GB2312" w:eastAsia="仿宋_GB2312" w:cs="仿宋_GB2312"/>
          <w:color w:val="auto"/>
          <w:sz w:val="30"/>
          <w:szCs w:val="30"/>
          <w:highlight w:val="none"/>
        </w:rPr>
        <w:t>型号一致的产品彩页资料和其他有关介绍资料。</w:t>
      </w:r>
    </w:p>
    <w:p>
      <w:pPr>
        <w:shd w:val="clear"/>
        <w:spacing w:line="400" w:lineRule="exact"/>
        <w:ind w:firstLine="600" w:firstLineChars="200"/>
        <w:rPr>
          <w:rFonts w:hint="eastAsia" w:ascii="仿宋_GB2312" w:hAnsi="仿宋_GB2312" w:eastAsia="仿宋_GB2312" w:cs="仿宋_GB2312"/>
          <w:color w:val="auto"/>
          <w:sz w:val="30"/>
          <w:szCs w:val="30"/>
          <w:highlight w:val="none"/>
        </w:rPr>
      </w:pPr>
    </w:p>
    <w:p>
      <w:pPr>
        <w:shd w:val="clear"/>
        <w:spacing w:line="40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16.</w:t>
      </w:r>
      <w:r>
        <w:rPr>
          <w:rFonts w:hint="eastAsia" w:ascii="仿宋_GB2312" w:hAnsi="仿宋_GB2312" w:eastAsia="仿宋_GB2312" w:cs="仿宋_GB2312"/>
          <w:color w:val="auto"/>
          <w:sz w:val="30"/>
          <w:szCs w:val="30"/>
          <w:highlight w:val="none"/>
        </w:rPr>
        <w:t>业绩证明材料（用户名单及联系人与联系方式）（见附件4）。</w:t>
      </w:r>
    </w:p>
    <w:p>
      <w:pPr>
        <w:shd w:val="clear"/>
        <w:spacing w:line="400" w:lineRule="exact"/>
        <w:ind w:firstLine="606" w:firstLineChars="20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7</w:t>
      </w:r>
      <w:r>
        <w:rPr>
          <w:rFonts w:hint="eastAsia" w:ascii="仿宋_GB2312" w:hAnsi="仿宋_GB2312" w:eastAsia="仿宋_GB2312" w:cs="仿宋_GB2312"/>
          <w:color w:val="auto"/>
          <w:sz w:val="30"/>
          <w:szCs w:val="30"/>
          <w:highlight w:val="none"/>
        </w:rPr>
        <w:t>.供应商认为需要提供的其他材料。</w:t>
      </w:r>
    </w:p>
    <w:p>
      <w:pPr>
        <w:shd w:val="clear"/>
        <w:spacing w:line="400" w:lineRule="exact"/>
        <w:ind w:left="0" w:leftChars="0" w:firstLine="64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2"/>
          <w:szCs w:val="32"/>
          <w:highlight w:val="none"/>
          <w:lang w:val="en-US" w:eastAsia="zh-CN" w:bidi="ar-SA"/>
        </w:rPr>
        <w:t>18.反商业贿赂承诺书</w:t>
      </w: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 xml:space="preserve"> ）。</w:t>
      </w:r>
    </w:p>
    <w:p>
      <w:pPr>
        <w:shd w:val="clear"/>
        <w:spacing w:line="400" w:lineRule="exact"/>
        <w:ind w:firstLine="606" w:firstLineChars="20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pacing w:val="8"/>
          <w:sz w:val="30"/>
          <w:szCs w:val="30"/>
          <w:highlight w:val="none"/>
        </w:rPr>
        <w:t>封底。</w:t>
      </w:r>
    </w:p>
    <w:p>
      <w:pPr>
        <w:shd w:val="clear"/>
        <w:tabs>
          <w:tab w:val="left" w:pos="0"/>
        </w:tabs>
        <w:spacing w:line="240" w:lineRule="atLeast"/>
        <w:ind w:firstLine="600" w:firstLineChars="200"/>
        <w:rPr>
          <w:rFonts w:hint="eastAsia" w:ascii="仿宋_GB2312" w:hAnsi="仿宋_GB2312" w:eastAsia="仿宋_GB2312" w:cs="仿宋_GB2312"/>
          <w:color w:val="auto"/>
          <w:sz w:val="30"/>
          <w:szCs w:val="30"/>
          <w:highlight w:val="none"/>
        </w:rPr>
      </w:pPr>
    </w:p>
    <w:p>
      <w:pPr>
        <w:shd w:val="clear"/>
        <w:ind w:right="112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注：请务必按以上顺序装订资料，如有非中文资料，请同时提供中文翻译件。</w:t>
      </w:r>
    </w:p>
    <w:p>
      <w:pPr>
        <w:shd w:val="clear"/>
        <w:ind w:right="1120"/>
        <w:rPr>
          <w:rFonts w:hint="eastAsia" w:ascii="仿宋_GB2312" w:hAnsi="仿宋_GB2312" w:eastAsia="仿宋_GB2312" w:cs="仿宋_GB2312"/>
          <w:b/>
          <w:bCs/>
          <w:color w:val="auto"/>
          <w:sz w:val="30"/>
          <w:szCs w:val="30"/>
          <w:highlight w:val="none"/>
        </w:rPr>
      </w:pPr>
    </w:p>
    <w:p>
      <w:pPr>
        <w:spacing w:line="360" w:lineRule="auto"/>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附件4：用户情况一览表</w:t>
      </w:r>
    </w:p>
    <w:tbl>
      <w:tblPr>
        <w:tblStyle w:val="2"/>
        <w:tblpPr w:leftFromText="180" w:rightFromText="180" w:vertAnchor="text" w:horzAnchor="page" w:tblpX="1005" w:tblpY="526"/>
        <w:tblW w:w="10022" w:type="dxa"/>
        <w:tblInd w:w="0" w:type="dxa"/>
        <w:tblLayout w:type="autofit"/>
        <w:tblCellMar>
          <w:top w:w="0" w:type="dxa"/>
          <w:left w:w="0" w:type="dxa"/>
          <w:bottom w:w="0" w:type="dxa"/>
          <w:right w:w="0" w:type="dxa"/>
        </w:tblCellMar>
      </w:tblPr>
      <w:tblGrid>
        <w:gridCol w:w="950"/>
        <w:gridCol w:w="1276"/>
        <w:gridCol w:w="992"/>
        <w:gridCol w:w="709"/>
        <w:gridCol w:w="1559"/>
        <w:gridCol w:w="1418"/>
        <w:gridCol w:w="1984"/>
        <w:gridCol w:w="1134"/>
      </w:tblGrid>
      <w:tr>
        <w:tblPrEx>
          <w:tblCellMar>
            <w:top w:w="0" w:type="dxa"/>
            <w:left w:w="0" w:type="dxa"/>
            <w:bottom w:w="0" w:type="dxa"/>
            <w:right w:w="0" w:type="dxa"/>
          </w:tblCellMar>
        </w:tblPrEx>
        <w:trPr>
          <w:trHeight w:val="420" w:hRule="atLeast"/>
        </w:trPr>
        <w:tc>
          <w:tcPr>
            <w:tcW w:w="9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用户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名称</w:t>
            </w:r>
          </w:p>
        </w:tc>
        <w:tc>
          <w:tcPr>
            <w:tcW w:w="9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规格型号</w:t>
            </w:r>
          </w:p>
        </w:tc>
        <w:tc>
          <w:tcPr>
            <w:tcW w:w="7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数量</w:t>
            </w:r>
          </w:p>
        </w:tc>
        <w:tc>
          <w:tcPr>
            <w:tcW w:w="15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合同价格或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中标价格</w:t>
            </w:r>
          </w:p>
        </w:tc>
        <w:tc>
          <w:tcPr>
            <w:tcW w:w="1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使用时间或</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中标时间</w:t>
            </w:r>
          </w:p>
        </w:tc>
        <w:tc>
          <w:tcPr>
            <w:tcW w:w="19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联系人及</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联系方式</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 w:hAnsi="仿宋" w:eastAsia="仿宋" w:cs="仿宋"/>
                <w:sz w:val="24"/>
                <w:szCs w:val="24"/>
              </w:rPr>
            </w:pPr>
            <w:r>
              <w:rPr>
                <w:rFonts w:hint="eastAsia" w:ascii="仿宋" w:hAnsi="仿宋" w:eastAsia="仿宋" w:cs="仿宋"/>
                <w:sz w:val="24"/>
                <w:szCs w:val="24"/>
              </w:rPr>
              <w:t>备注</w:t>
            </w:r>
          </w:p>
        </w:tc>
      </w:tr>
      <w:tr>
        <w:tblPrEx>
          <w:tblCellMar>
            <w:top w:w="0" w:type="dxa"/>
            <w:left w:w="0" w:type="dxa"/>
            <w:bottom w:w="0" w:type="dxa"/>
            <w:right w:w="0" w:type="dxa"/>
          </w:tblCellMar>
        </w:tblPrEx>
        <w:trPr>
          <w:trHeight w:val="300" w:hRule="atLeast"/>
        </w:trPr>
        <w:tc>
          <w:tcPr>
            <w:tcW w:w="950" w:type="dxa"/>
            <w:vMerge w:val="restart"/>
            <w:tcBorders>
              <w:top w:val="single" w:color="auto" w:sz="8" w:space="0"/>
              <w:left w:val="single" w:color="auto" w:sz="8" w:space="0"/>
              <w:right w:val="single" w:color="auto" w:sz="8" w:space="0"/>
            </w:tcBorders>
            <w:noWrap w:val="0"/>
            <w:vAlign w:val="center"/>
          </w:tcPr>
          <w:p>
            <w:pPr>
              <w:widowControl/>
              <w:jc w:val="left"/>
              <w:rPr>
                <w:rFonts w:ascii="仿宋" w:hAnsi="仿宋" w:eastAsia="仿宋" w:cs="仿宋"/>
                <w:sz w:val="24"/>
                <w:szCs w:val="24"/>
              </w:rPr>
            </w:pPr>
            <w:r>
              <w:rPr>
                <w:rFonts w:hint="eastAsia" w:ascii="仿宋" w:hAnsi="仿宋" w:eastAsia="仿宋" w:cs="仿宋"/>
                <w:sz w:val="24"/>
                <w:szCs w:val="24"/>
              </w:rPr>
              <w:t>省外省级以上单位用户</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center"/>
              <w:rPr>
                <w:rFonts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300" w:hRule="atLeast"/>
        </w:trPr>
        <w:tc>
          <w:tcPr>
            <w:tcW w:w="950" w:type="dxa"/>
            <w:vMerge w:val="continue"/>
            <w:tcBorders>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105" w:lineRule="atLeast"/>
              <w:jc w:val="center"/>
              <w:rPr>
                <w:rFonts w:ascii="仿宋" w:hAnsi="仿宋" w:eastAsia="仿宋" w:cs="仿宋"/>
                <w:sz w:val="24"/>
                <w:szCs w:val="24"/>
              </w:rPr>
            </w:pPr>
            <w:r>
              <w:rPr>
                <w:rFonts w:hint="eastAsia" w:ascii="仿宋" w:hAnsi="仿宋" w:eastAsia="仿宋" w:cs="仿宋"/>
                <w:sz w:val="24"/>
                <w:szCs w:val="24"/>
              </w:rPr>
              <w:t>省内省级单位用户</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r>
      <w:tr>
        <w:tblPrEx>
          <w:tblCellMar>
            <w:top w:w="0" w:type="dxa"/>
            <w:left w:w="0" w:type="dxa"/>
            <w:bottom w:w="0" w:type="dxa"/>
            <w:right w:w="0" w:type="dxa"/>
          </w:tblCellMar>
        </w:tblPrEx>
        <w:trPr>
          <w:trHeight w:val="10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105" w:lineRule="atLeast"/>
              <w:jc w:val="left"/>
              <w:rPr>
                <w:rFonts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仿宋"/>
                <w:sz w:val="24"/>
                <w:szCs w:val="24"/>
              </w:rPr>
            </w:pPr>
            <w:r>
              <w:rPr>
                <w:rFonts w:hint="eastAsia" w:ascii="仿宋" w:hAnsi="仿宋" w:eastAsia="仿宋" w:cs="仿宋"/>
                <w:sz w:val="24"/>
                <w:szCs w:val="24"/>
              </w:rPr>
              <w:t>省内其他用户</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r>
        <w:tblPrEx>
          <w:tblCellMar>
            <w:top w:w="0" w:type="dxa"/>
            <w:left w:w="0" w:type="dxa"/>
            <w:bottom w:w="0" w:type="dxa"/>
            <w:right w:w="0" w:type="dxa"/>
          </w:tblCellMar>
        </w:tblPrEx>
        <w:trPr>
          <w:trHeight w:val="375" w:hRule="atLeast"/>
        </w:trPr>
        <w:tc>
          <w:tcPr>
            <w:tcW w:w="950"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仿宋" w:hAnsi="仿宋" w:eastAsia="仿宋" w:cs="仿宋"/>
                <w:sz w:val="24"/>
                <w:szCs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992"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41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98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jc w:val="left"/>
              <w:rPr>
                <w:rFonts w:ascii="仿宋" w:hAnsi="仿宋" w:eastAsia="仿宋" w:cs="仿宋"/>
                <w:sz w:val="24"/>
                <w:szCs w:val="24"/>
              </w:rPr>
            </w:pPr>
          </w:p>
        </w:tc>
      </w:tr>
    </w:tbl>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附件5：报价一览表</w:t>
      </w:r>
    </w:p>
    <w:p>
      <w:pPr>
        <w:spacing w:line="360" w:lineRule="auto"/>
        <w:rPr>
          <w:rFonts w:hint="eastAsia" w:ascii="仿宋_GB2312" w:hAnsi="宋体" w:eastAsia="仿宋_GB2312" w:cs="仿宋_GB2312"/>
          <w:b/>
          <w:bCs/>
          <w:sz w:val="28"/>
          <w:szCs w:val="28"/>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1334"/>
        <w:gridCol w:w="1334"/>
        <w:gridCol w:w="1334"/>
        <w:gridCol w:w="1335"/>
        <w:gridCol w:w="1335"/>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序号</w:t>
            </w:r>
          </w:p>
        </w:tc>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产品名称</w:t>
            </w:r>
          </w:p>
        </w:tc>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生产厂家</w:t>
            </w:r>
          </w:p>
        </w:tc>
        <w:tc>
          <w:tcPr>
            <w:tcW w:w="1334"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品牌</w:t>
            </w:r>
          </w:p>
        </w:tc>
        <w:tc>
          <w:tcPr>
            <w:tcW w:w="1335"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型号</w:t>
            </w:r>
          </w:p>
        </w:tc>
        <w:tc>
          <w:tcPr>
            <w:tcW w:w="133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成交单价</w:t>
            </w:r>
          </w:p>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w:t>
            </w:r>
          </w:p>
        </w:tc>
        <w:tc>
          <w:tcPr>
            <w:tcW w:w="1335" w:type="dxa"/>
            <w:vAlign w:val="center"/>
          </w:tcPr>
          <w:p>
            <w:pPr>
              <w:widowControl/>
              <w:jc w:val="left"/>
              <w:rPr>
                <w:rFonts w:ascii="仿宋" w:hAnsi="仿宋" w:eastAsia="仿宋" w:cs="仿宋"/>
                <w:sz w:val="24"/>
                <w:szCs w:val="24"/>
              </w:rPr>
            </w:pPr>
            <w:r>
              <w:rPr>
                <w:rFonts w:hint="eastAsia" w:ascii="仿宋" w:hAnsi="仿宋" w:eastAsia="仿宋" w:cs="仿宋"/>
                <w:sz w:val="24"/>
                <w:szCs w:val="24"/>
              </w:rPr>
              <w:t>成交总价</w:t>
            </w:r>
          </w:p>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（元）</w:t>
            </w:r>
          </w:p>
        </w:tc>
        <w:tc>
          <w:tcPr>
            <w:tcW w:w="1335" w:type="dxa"/>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4"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c>
          <w:tcPr>
            <w:tcW w:w="1335" w:type="dxa"/>
          </w:tcPr>
          <w:p>
            <w:pPr>
              <w:spacing w:line="360" w:lineRule="auto"/>
              <w:rPr>
                <w:rFonts w:hint="eastAsia" w:ascii="仿宋_GB2312" w:hAnsi="宋体" w:eastAsia="仿宋_GB2312" w:cs="仿宋_GB2312"/>
                <w:b/>
                <w:bCs/>
                <w:sz w:val="28"/>
                <w:szCs w:val="28"/>
                <w:vertAlign w:val="baseline"/>
                <w:lang w:val="en-US" w:eastAsia="zh-CN"/>
              </w:rPr>
            </w:pPr>
          </w:p>
        </w:tc>
      </w:tr>
    </w:tbl>
    <w:p>
      <w:pPr>
        <w:spacing w:line="360" w:lineRule="auto"/>
        <w:rPr>
          <w:rFonts w:hint="eastAsia" w:ascii="仿宋_GB2312" w:hAnsi="宋体" w:eastAsia="仿宋_GB2312" w:cs="仿宋_GB2312"/>
          <w:b w:val="0"/>
          <w:bCs w:val="0"/>
          <w:sz w:val="24"/>
          <w:szCs w:val="24"/>
          <w:lang w:val="en-US" w:eastAsia="zh-CN"/>
        </w:rPr>
      </w:pPr>
      <w:r>
        <w:rPr>
          <w:rFonts w:hint="eastAsia" w:ascii="仿宋_GB2312" w:hAnsi="宋体" w:eastAsia="仿宋_GB2312" w:cs="仿宋_GB2312"/>
          <w:b w:val="0"/>
          <w:bCs w:val="0"/>
          <w:sz w:val="24"/>
          <w:szCs w:val="24"/>
          <w:lang w:val="en-US" w:eastAsia="zh-CN"/>
        </w:rPr>
        <w:t>注：1.成交单价应是最货物设计、材料、制造、包装、运输、装卸、保险、关税、增值税、仓储、商检、卫检、报关、输机、清关手续费、安装、调试、培训、质检、保修、其它伴随服务等所有费用。</w:t>
      </w:r>
    </w:p>
    <w:p>
      <w:pPr>
        <w:spacing w:line="360" w:lineRule="auto"/>
        <w:rPr>
          <w:rFonts w:hint="eastAsia" w:ascii="仿宋_GB2312" w:hAnsi="宋体" w:eastAsia="仿宋_GB2312" w:cs="仿宋_GB2312"/>
          <w:b w:val="0"/>
          <w:bCs w:val="0"/>
          <w:sz w:val="24"/>
          <w:szCs w:val="24"/>
          <w:lang w:val="en-US" w:eastAsia="zh-CN"/>
        </w:rPr>
      </w:pPr>
      <w:r>
        <w:rPr>
          <w:rFonts w:hint="eastAsia" w:ascii="仿宋_GB2312" w:hAnsi="宋体" w:eastAsia="仿宋_GB2312" w:cs="仿宋_GB2312"/>
          <w:b w:val="0"/>
          <w:bCs w:val="0"/>
          <w:sz w:val="24"/>
          <w:szCs w:val="24"/>
          <w:lang w:val="en-US" w:eastAsia="zh-CN"/>
        </w:rPr>
        <w:t>成交总价按照“附加1”中招采数量乘以成交单价计算。</w:t>
      </w:r>
    </w:p>
    <w:p>
      <w:pPr>
        <w:spacing w:line="360" w:lineRule="auto"/>
        <w:rPr>
          <w:rFonts w:hint="eastAsia" w:ascii="仿宋_GB2312" w:hAnsi="宋体" w:eastAsia="仿宋_GB2312" w:cs="仿宋_GB2312"/>
          <w:b w:val="0"/>
          <w:bCs w:val="0"/>
          <w:sz w:val="24"/>
          <w:szCs w:val="24"/>
          <w:lang w:val="en-US" w:eastAsia="zh-CN"/>
        </w:rPr>
      </w:pPr>
      <w:r>
        <w:rPr>
          <w:rFonts w:hint="eastAsia" w:ascii="仿宋_GB2312" w:hAnsi="宋体" w:eastAsia="仿宋_GB2312" w:cs="仿宋_GB2312"/>
          <w:b w:val="0"/>
          <w:bCs w:val="0"/>
          <w:sz w:val="24"/>
          <w:szCs w:val="24"/>
          <w:lang w:val="en-US" w:eastAsia="zh-CN"/>
        </w:rPr>
        <w:t>2.“序号”，按照附件1中对应的序号填写。</w:t>
      </w:r>
    </w:p>
    <w:p>
      <w:pPr>
        <w:spacing w:line="360" w:lineRule="auto"/>
        <w:rPr>
          <w:rFonts w:hint="eastAsia" w:ascii="仿宋_GB2312" w:hAnsi="宋体" w:eastAsia="仿宋_GB2312" w:cs="仿宋_GB2312"/>
          <w:b w:val="0"/>
          <w:bCs w:val="0"/>
          <w:sz w:val="24"/>
          <w:szCs w:val="24"/>
          <w:lang w:val="en-US" w:eastAsia="zh-CN"/>
        </w:rPr>
      </w:pPr>
      <w:r>
        <w:rPr>
          <w:rFonts w:hint="eastAsia" w:ascii="仿宋_GB2312" w:hAnsi="宋体" w:eastAsia="仿宋_GB2312" w:cs="仿宋_GB2312"/>
          <w:b w:val="0"/>
          <w:bCs w:val="0"/>
          <w:sz w:val="24"/>
          <w:szCs w:val="24"/>
          <w:lang w:val="en-US" w:eastAsia="zh-CN"/>
        </w:rPr>
        <w:t>3.“报价一览表”为多页的，每页均需由法定代表人或授权代表签字并盖投标人印章。</w:t>
      </w:r>
    </w:p>
    <w:p>
      <w:pPr>
        <w:spacing w:line="360" w:lineRule="auto"/>
        <w:rPr>
          <w:rFonts w:hint="eastAsia" w:ascii="仿宋_GB2312" w:hAnsi="宋体" w:eastAsia="仿宋_GB2312" w:cs="仿宋_GB2312"/>
          <w:b/>
          <w:bCs/>
          <w:sz w:val="24"/>
          <w:szCs w:val="24"/>
          <w:lang w:val="en-US" w:eastAsia="zh-CN"/>
        </w:rPr>
      </w:pPr>
      <w:r>
        <w:rPr>
          <w:rFonts w:hint="eastAsia" w:ascii="仿宋_GB2312" w:hAnsi="宋体" w:eastAsia="仿宋_GB2312" w:cs="仿宋_GB2312"/>
          <w:b/>
          <w:bCs/>
          <w:sz w:val="24"/>
          <w:szCs w:val="24"/>
          <w:lang w:val="en-US" w:eastAsia="zh-CN"/>
        </w:rPr>
        <w:t>4.“报价一览表”需单独密封。</w:t>
      </w:r>
    </w:p>
    <w:p>
      <w:pPr>
        <w:spacing w:line="360" w:lineRule="auto"/>
        <w:rPr>
          <w:rFonts w:hint="eastAsia" w:ascii="仿宋_GB2312" w:hAnsi="宋体" w:eastAsia="仿宋_GB2312" w:cs="仿宋_GB2312"/>
          <w:b w:val="0"/>
          <w:bCs w:val="0"/>
          <w:sz w:val="24"/>
          <w:szCs w:val="24"/>
          <w:lang w:val="en-US" w:eastAsia="zh-CN"/>
        </w:rPr>
      </w:pPr>
      <w:r>
        <w:rPr>
          <w:rFonts w:hint="eastAsia" w:ascii="仿宋_GB2312" w:hAnsi="宋体" w:eastAsia="仿宋_GB2312" w:cs="仿宋_GB2312"/>
          <w:b w:val="0"/>
          <w:bCs w:val="0"/>
          <w:sz w:val="24"/>
          <w:szCs w:val="24"/>
          <w:lang w:val="en-US" w:eastAsia="zh-CN"/>
        </w:rPr>
        <w:t>6、如有多种规格，请按每种规格分别报价。</w:t>
      </w:r>
    </w:p>
    <w:p>
      <w:pPr>
        <w:spacing w:line="360" w:lineRule="auto"/>
        <w:rPr>
          <w:rFonts w:hint="eastAsia" w:ascii="仿宋_GB2312" w:hAnsi="宋体" w:eastAsia="仿宋_GB2312" w:cs="仿宋_GB2312"/>
          <w:b w:val="0"/>
          <w:bCs w:val="0"/>
          <w:sz w:val="24"/>
          <w:szCs w:val="24"/>
          <w:lang w:val="en-US" w:eastAsia="zh-CN"/>
        </w:rPr>
      </w:pPr>
      <w:r>
        <w:rPr>
          <w:rFonts w:hint="eastAsia" w:ascii="仿宋_GB2312" w:hAnsi="宋体" w:eastAsia="仿宋_GB2312" w:cs="仿宋_GB2312"/>
          <w:b w:val="0"/>
          <w:bCs w:val="0"/>
          <w:sz w:val="24"/>
          <w:szCs w:val="24"/>
          <w:lang w:val="en-US" w:eastAsia="zh-CN"/>
        </w:rPr>
        <w:t>供应商名称：（盖章）</w:t>
      </w:r>
    </w:p>
    <w:p>
      <w:pPr>
        <w:spacing w:line="360" w:lineRule="auto"/>
        <w:rPr>
          <w:rFonts w:hint="eastAsia" w:ascii="仿宋_GB2312" w:hAnsi="宋体" w:eastAsia="仿宋_GB2312" w:cs="仿宋_GB2312"/>
          <w:b w:val="0"/>
          <w:bCs w:val="0"/>
          <w:sz w:val="24"/>
          <w:szCs w:val="24"/>
          <w:lang w:val="en-US" w:eastAsia="zh-CN"/>
        </w:rPr>
      </w:pPr>
      <w:r>
        <w:rPr>
          <w:rFonts w:hint="eastAsia" w:ascii="仿宋_GB2312" w:hAnsi="宋体" w:eastAsia="仿宋_GB2312" w:cs="仿宋_GB2312"/>
          <w:b w:val="0"/>
          <w:bCs w:val="0"/>
          <w:sz w:val="24"/>
          <w:szCs w:val="24"/>
          <w:lang w:val="en-US" w:eastAsia="zh-CN"/>
        </w:rPr>
        <w:t>法定代表人或授权代表（签字）：                 日期：</w:t>
      </w: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en-US" w:eastAsia="zh-CN"/>
        </w:rPr>
        <w:t>附件6：</w:t>
      </w:r>
    </w:p>
    <w:p>
      <w:pPr>
        <w:keepNext w:val="0"/>
        <w:keepLines w:val="0"/>
        <w:pageBreakBefore w:val="0"/>
        <w:widowControl w:val="0"/>
        <w:tabs>
          <w:tab w:val="left" w:pos="6645"/>
        </w:tabs>
        <w:kinsoku/>
        <w:wordWrap/>
        <w:overflowPunct/>
        <w:topLinePunct w:val="0"/>
        <w:autoSpaceDE/>
        <w:autoSpaceDN/>
        <w:bidi w:val="0"/>
        <w:adjustRightInd/>
        <w:snapToGrid/>
        <w:spacing w:line="560" w:lineRule="exact"/>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反商业贿赂承诺书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hAnsi="宋体" w:eastAsia="仿宋_GB2312"/>
          <w:color w:val="auto"/>
          <w:sz w:val="32"/>
          <w:szCs w:val="32"/>
          <w:highlight w:val="none"/>
        </w:rPr>
        <w:t xml:space="preserve">一、 </w:t>
      </w:r>
      <w:r>
        <w:rPr>
          <w:rFonts w:hint="eastAsia" w:ascii="仿宋_GB2312" w:eastAsia="仿宋_GB2312"/>
          <w:color w:val="auto"/>
          <w:sz w:val="32"/>
          <w:szCs w:val="32"/>
          <w:highlight w:val="none"/>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5、保证不以其他任何方式扰乱贵院的招标工作；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2、对本厂家、商家、公司相关工作人员做出严肃处理；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本《承诺书》一式贰份（一份由承诺人自存；一份随竞价书传递）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承诺企业名称（公章）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法人代表或委托代理人（承诺人）</w:t>
      </w:r>
    </w:p>
    <w:p>
      <w:pPr>
        <w:spacing w:line="360" w:lineRule="auto"/>
        <w:rPr>
          <w:rFonts w:hint="eastAsia" w:ascii="仿宋_GB2312" w:hAnsi="宋体" w:eastAsia="仿宋_GB2312" w:cs="仿宋_GB2312"/>
          <w:b w:val="0"/>
          <w:bCs w:val="0"/>
          <w:sz w:val="24"/>
          <w:szCs w:val="24"/>
          <w:lang w:val="en-US" w:eastAsia="zh-CN"/>
        </w:rPr>
      </w:pPr>
    </w:p>
    <w:p>
      <w:pPr>
        <w:spacing w:line="360" w:lineRule="auto"/>
        <w:rPr>
          <w:rFonts w:hint="eastAsia" w:ascii="仿宋_GB2312" w:hAnsi="宋体" w:eastAsia="仿宋_GB2312" w:cs="仿宋_GB2312"/>
          <w:b/>
          <w:bCs/>
          <w:sz w:val="28"/>
          <w:szCs w:val="28"/>
          <w:lang w:val="en-US" w:eastAsia="zh-CN"/>
        </w:rPr>
      </w:pPr>
    </w:p>
    <w:p>
      <w:pPr>
        <w:spacing w:line="360" w:lineRule="auto"/>
        <w:rPr>
          <w:rFonts w:hint="default" w:ascii="仿宋_GB2312" w:hAnsi="宋体" w:eastAsia="仿宋_GB2312" w:cs="仿宋_GB2312"/>
          <w:b/>
          <w:bCs/>
          <w:sz w:val="28"/>
          <w:szCs w:val="28"/>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55214"/>
    <w:multiLevelType w:val="singleLevel"/>
    <w:tmpl w:val="F7055214"/>
    <w:lvl w:ilvl="0" w:tentative="0">
      <w:start w:val="1"/>
      <w:numFmt w:val="decimal"/>
      <w:suff w:val="space"/>
      <w:lvlText w:val="%1."/>
      <w:lvlJc w:val="left"/>
    </w:lvl>
  </w:abstractNum>
  <w:abstractNum w:abstractNumId="1">
    <w:nsid w:val="1696D67B"/>
    <w:multiLevelType w:val="singleLevel"/>
    <w:tmpl w:val="1696D67B"/>
    <w:lvl w:ilvl="0" w:tentative="0">
      <w:start w:val="1"/>
      <w:numFmt w:val="decimal"/>
      <w:suff w:val="space"/>
      <w:lvlText w:val="%1."/>
      <w:lvlJc w:val="left"/>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3">
    <w:nsid w:val="3C62A2C3"/>
    <w:multiLevelType w:val="singleLevel"/>
    <w:tmpl w:val="3C62A2C3"/>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66D02"/>
    <w:rsid w:val="0F9F0006"/>
    <w:rsid w:val="37366D02"/>
    <w:rsid w:val="54012F8E"/>
    <w:rsid w:val="5C68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2021-09-24T07:50:00Z</dcterms:created>
  <dc:creator>bjb04</dc:creator>
  <cp:lastModifiedBy>fox</cp:lastModifiedBy>
  <dcterms:modified xsi:type="dcterms:W3CDTF">2021-09-29T02:47:26Z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733C8C278E934385AB99266D3B1373E9</vt:lpwstr>
  </property>
</Properties>
</file>