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备注说明：标识”★”的参数为实质性要求,负偏离将视为无效投标。</w:t>
      </w:r>
    </w:p>
    <w:p>
      <w:pPr>
        <w:ind w:firstLine="560" w:firstLineChars="200"/>
        <w:jc w:val="center"/>
        <w:rPr>
          <w:rFonts w:ascii="方正仿宋_GB2312" w:hAnsi="方正仿宋_GB2312" w:eastAsia="方正仿宋_GB2312" w:cs="方正仿宋_GB2312"/>
          <w:sz w:val="28"/>
          <w:szCs w:val="28"/>
        </w:rPr>
      </w:pPr>
    </w:p>
    <w:tbl>
      <w:tblPr>
        <w:tblStyle w:val="8"/>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4"/>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4" w:type="pct"/>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w:t>
            </w:r>
          </w:p>
        </w:tc>
        <w:tc>
          <w:tcPr>
            <w:tcW w:w="1266" w:type="pct"/>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734" w:type="pct"/>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外文、数字图书馆网站及APP数据库服务</w:t>
            </w:r>
          </w:p>
        </w:tc>
        <w:tc>
          <w:tcPr>
            <w:tcW w:w="1266" w:type="pct"/>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734" w:type="pct"/>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中文期刊、博硕、会议论文数据库服务</w:t>
            </w:r>
          </w:p>
        </w:tc>
        <w:tc>
          <w:tcPr>
            <w:tcW w:w="1266" w:type="pct"/>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年</w:t>
            </w:r>
          </w:p>
        </w:tc>
      </w:tr>
    </w:tbl>
    <w:p>
      <w:pPr>
        <w:spacing w:line="520" w:lineRule="exact"/>
        <w:rPr>
          <w:rFonts w:ascii="方正仿宋_GB2312" w:hAnsi="方正仿宋_GB2312" w:eastAsia="方正仿宋_GB2312" w:cs="方正仿宋_GB2312"/>
          <w:b/>
          <w:sz w:val="30"/>
          <w:szCs w:val="30"/>
        </w:rPr>
      </w:pPr>
    </w:p>
    <w:p>
      <w:pPr>
        <w:pStyle w:val="3"/>
        <w:jc w:val="center"/>
      </w:pPr>
      <w:r>
        <w:rPr>
          <w:rFonts w:hint="eastAsia"/>
        </w:rPr>
        <w:t>外文、数字图书馆网站及APP要求</w:t>
      </w:r>
      <w:r>
        <w:t xml:space="preserve"> </w:t>
      </w:r>
    </w:p>
    <w:tbl>
      <w:tblPr>
        <w:tblStyle w:val="7"/>
        <w:tblW w:w="957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96"/>
        <w:gridCol w:w="6727"/>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70" w:type="dxa"/>
            <w:gridSpan w:val="4"/>
            <w:tcBorders>
              <w:top w:val="double" w:color="auto" w:sz="4" w:space="0"/>
              <w:left w:val="double" w:color="auto" w:sz="4" w:space="0"/>
              <w:bottom w:val="single" w:color="auto" w:sz="4" w:space="0"/>
              <w:right w:val="double" w:color="auto" w:sz="4" w:space="0"/>
            </w:tcBorders>
            <w:vAlign w:val="center"/>
          </w:tcPr>
          <w:p>
            <w:pPr>
              <w:widowControl/>
              <w:spacing w:line="360" w:lineRule="auto"/>
              <w:jc w:val="center"/>
              <w:rPr>
                <w:rFonts w:ascii="宋体" w:hAnsi="宋体" w:cs="宋体"/>
                <w:b/>
                <w:szCs w:val="21"/>
              </w:rPr>
            </w:pPr>
            <w:r>
              <w:rPr>
                <w:rFonts w:hint="eastAsia" w:ascii="宋体" w:hAnsi="宋体" w:cs="宋体"/>
                <w:b/>
                <w:kern w:val="0"/>
                <w:sz w:val="24"/>
                <w:szCs w:val="24"/>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71"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宋体" w:hAnsi="宋体" w:cs="宋体"/>
                <w:b/>
                <w:szCs w:val="21"/>
              </w:rPr>
            </w:pPr>
            <w:r>
              <w:rPr>
                <w:rFonts w:hint="eastAsia" w:ascii="宋体" w:hAnsi="宋体" w:cs="宋体"/>
                <w:b/>
                <w:color w:val="000000"/>
                <w:kern w:val="0"/>
                <w:sz w:val="18"/>
                <w:szCs w:val="18"/>
                <w:lang w:val="zh-CN"/>
              </w:rPr>
              <w:t>编号</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kern w:val="0"/>
                <w:sz w:val="24"/>
                <w:szCs w:val="21"/>
                <w:lang w:val="zh-CN"/>
              </w:rPr>
            </w:pPr>
            <w:r>
              <w:rPr>
                <w:rFonts w:hint="eastAsia" w:ascii="宋体" w:hAnsi="宋体" w:cs="宋体"/>
                <w:b/>
                <w:color w:val="000000"/>
                <w:kern w:val="0"/>
                <w:sz w:val="24"/>
                <w:szCs w:val="21"/>
                <w:lang w:val="zh-CN"/>
              </w:rPr>
              <w:t>功能</w:t>
            </w:r>
          </w:p>
          <w:p>
            <w:pPr>
              <w:widowControl/>
              <w:spacing w:line="360" w:lineRule="auto"/>
              <w:jc w:val="center"/>
              <w:rPr>
                <w:rFonts w:ascii="宋体" w:hAnsi="宋体" w:cs="宋体"/>
                <w:b/>
                <w:szCs w:val="21"/>
              </w:rPr>
            </w:pPr>
            <w:r>
              <w:rPr>
                <w:rFonts w:hint="eastAsia" w:ascii="宋体" w:hAnsi="宋体" w:cs="宋体"/>
                <w:b/>
                <w:color w:val="000000"/>
                <w:kern w:val="0"/>
                <w:sz w:val="24"/>
                <w:szCs w:val="21"/>
                <w:lang w:val="zh-CN"/>
              </w:rPr>
              <w:t>类别</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Cs w:val="21"/>
              </w:rPr>
            </w:pPr>
            <w:r>
              <w:rPr>
                <w:rFonts w:hint="eastAsia" w:ascii="宋体" w:hAnsi="宋体" w:cs="宋体"/>
                <w:b/>
                <w:color w:val="000000"/>
                <w:kern w:val="0"/>
                <w:sz w:val="24"/>
                <w:szCs w:val="21"/>
                <w:lang w:val="zh-CN"/>
              </w:rPr>
              <w:t>功能要求</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center"/>
              <w:rPr>
                <w:rFonts w:ascii="宋体" w:hAnsi="宋体" w:cs="宋体"/>
                <w:b/>
                <w:szCs w:val="21"/>
              </w:rPr>
            </w:pPr>
            <w:r>
              <w:rPr>
                <w:rFonts w:hint="eastAsia" w:ascii="宋体" w:hAnsi="宋体" w:cs="宋体"/>
                <w:b/>
                <w:color w:val="000000"/>
                <w:kern w:val="0"/>
                <w:sz w:val="24"/>
                <w:szCs w:val="21"/>
                <w:lang w:val="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471" w:type="dxa"/>
            <w:tcBorders>
              <w:top w:val="single" w:color="auto" w:sz="4" w:space="0"/>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一站式登录学习平台门户网站</w:t>
            </w:r>
          </w:p>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pStyle w:val="10"/>
              <w:spacing w:line="276" w:lineRule="auto"/>
              <w:rPr>
                <w:rFonts w:ascii="宋体" w:hAnsi="宋体" w:cs="宋体"/>
                <w:color w:val="000000"/>
                <w:szCs w:val="21"/>
              </w:rPr>
            </w:pPr>
            <w:r>
              <w:rPr>
                <w:rFonts w:hint="eastAsia"/>
                <w:kern w:val="2"/>
                <w:sz w:val="21"/>
              </w:rPr>
              <w:t>门户网站要求：(1).支持创建网站。手机端和电脑端使用同一账号密码登录；(2).支持随时根据需求对已建网站进行编辑；(3).支持网站挂接单位自有域名；(4).支持设置网站访问权限为无需权限和需登录后访问；(5).支持一种或多种登录方式，包含手机号登录密码登录、邮箱密码登录、工号登录等方式；(6).一站式登陆电脑版、移动APP学习平台门户网站；(7).支持设置网站IP白名单；</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71" w:type="dxa"/>
            <w:tcBorders>
              <w:left w:val="doub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2</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b/>
                <w:bCs/>
              </w:rPr>
            </w:pPr>
            <w:r>
              <w:rPr>
                <w:rFonts w:hint="eastAsia" w:ascii="宋体" w:hAnsi="宋体" w:cs="宋体"/>
                <w:color w:val="000000"/>
                <w:szCs w:val="21"/>
                <w:lang w:val="zh-CN"/>
              </w:rPr>
              <w:t>★</w:t>
            </w:r>
            <w:r>
              <w:rPr>
                <w:rFonts w:hint="eastAsia"/>
              </w:rPr>
              <w:t>提供院内IP内访问的链接和院外访问的链接，院外访问时内嵌VPN功能，用户不需要再单独安装VPN软件，即可实现单点登陆，并具有与院内访问一样的权限。</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（必须提供相关案例及截图，并在交付周期内重现）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1" w:type="dxa"/>
            <w:tcBorders>
              <w:top w:val="single" w:color="auto" w:sz="4" w:space="0"/>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3</w:t>
            </w:r>
          </w:p>
        </w:tc>
        <w:tc>
          <w:tcPr>
            <w:tcW w:w="109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移动端APP学习平台门户</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1、提供手机APP（分安卓和苹果两个版本），可与电脑版已注册的读者账号统一认证，无需读者重复注册。</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471" w:type="dxa"/>
            <w:tcBorders>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4</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lang w:val="zh-CN"/>
              </w:rPr>
              <w:t>★</w:t>
            </w:r>
            <w:r>
              <w:rPr>
                <w:rFonts w:hint="eastAsia"/>
              </w:rPr>
              <w:t>2.对只有电脑版的、不适合手机访问的资源，根据甲方的需求，作移动端自适应改造，以适应各类手机终端的使用，并实现单点登陆。移动端自适应改的电子资源可包括：中国知网、万方医学、维普、Elsevier、Wiley、Springer、Web of Science、本地PubMed、UpToData等十几种高校及医院常用的电子资源。</w:t>
            </w:r>
          </w:p>
        </w:tc>
        <w:tc>
          <w:tcPr>
            <w:tcW w:w="1276" w:type="dxa"/>
            <w:tcBorders>
              <w:top w:val="single" w:color="auto" w:sz="4" w:space="0"/>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（必须提供相关案例及截图，并在交付周期内重现）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71" w:type="dxa"/>
            <w:tcBorders>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5</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3.平台仅是对原电子资源官方网站的移动端作自适应改造，检索语法、检索结果，与官方网站完全一样。</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471" w:type="dxa"/>
            <w:tcBorders>
              <w:left w:val="doub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6</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4.核心期刊中英文对照翻译及朗读来源于：医学界三大刊：新英格兰医学杂志（NEJM）、柳叶刀（Lancet）、美国医学会杂志（JAMA）；精选来源于自然（Nature）、科学（Science）和细胞（Cell）；CA论文来源于神刊《CA-A cancer journal for clinicians》。中英文对照翻译来源于国内知名专家的亲自人工翻译，部分论文含专家的推荐和精彩解读。</w:t>
            </w:r>
          </w:p>
        </w:tc>
        <w:tc>
          <w:tcPr>
            <w:tcW w:w="1276" w:type="dxa"/>
            <w:tcBorders>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（必须提供相关案例及截图，并在交付周期内重现）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71" w:type="dxa"/>
            <w:vMerge w:val="restart"/>
            <w:tcBorders>
              <w:top w:val="single" w:color="auto" w:sz="4" w:space="0"/>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7</w:t>
            </w:r>
          </w:p>
        </w:tc>
        <w:tc>
          <w:tcPr>
            <w:tcW w:w="109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提供电脑版和移动版图书馆的统一后台管理</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1.方便图书馆管理用户的个人权限，如批量导入读者账号、查询信息、更改密码等，并提供期刊的影响因子、分区信息等的上传设置，以及馆际互借或与第三方的文献互助平台的对接等。</w:t>
            </w:r>
          </w:p>
        </w:tc>
        <w:tc>
          <w:tcPr>
            <w:tcW w:w="1276" w:type="dxa"/>
            <w:tcBorders>
              <w:top w:val="single" w:color="auto" w:sz="4" w:space="0"/>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1" w:type="dxa"/>
            <w:vMerge w:val="continue"/>
            <w:tcBorders>
              <w:left w:val="double" w:color="auto" w:sz="4" w:space="0"/>
              <w:right w:val="single" w:color="auto" w:sz="4" w:space="0"/>
            </w:tcBorders>
            <w:vAlign w:val="center"/>
          </w:tcPr>
          <w:p>
            <w:pPr>
              <w:widowControl/>
              <w:jc w:val="left"/>
              <w:rPr>
                <w:rFonts w:ascii="宋体" w:hAnsi="宋体" w:cs="宋体"/>
                <w:color w:val="000000"/>
                <w:szCs w:val="21"/>
              </w:rPr>
            </w:pP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宋体"/>
                <w:color w:val="000000"/>
                <w:szCs w:val="21"/>
                <w:lang w:val="zh-CN"/>
              </w:rPr>
              <w:t>★</w:t>
            </w:r>
            <w:r>
              <w:rPr>
                <w:rFonts w:hint="eastAsia"/>
              </w:rPr>
              <w:t>2.提供管理员查看和统计用户使用情况的权限，医院管理员可随时在线查看中外文文献使用情况：包括所购每个人对各数据库检索、浏览、下载等记录，可提供各数据库使用统计对比分析。</w:t>
            </w:r>
          </w:p>
        </w:tc>
        <w:tc>
          <w:tcPr>
            <w:tcW w:w="1276" w:type="dxa"/>
            <w:tcBorders>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（必须提供相关案例及截图，并在交付周期内重现）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tcBorders>
              <w:top w:val="single" w:color="auto" w:sz="4" w:space="0"/>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8</w:t>
            </w:r>
          </w:p>
        </w:tc>
        <w:tc>
          <w:tcPr>
            <w:tcW w:w="109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文献信息资源统一检索平台</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宋体"/>
                <w:color w:val="000000"/>
                <w:szCs w:val="21"/>
              </w:rPr>
              <w:t>1.</w:t>
            </w:r>
            <w:r>
              <w:rPr>
                <w:rFonts w:hint="eastAsia"/>
              </w:rPr>
              <w:t>整合本院已购买和将购买的数据库资源，一站式检索包含图书、期刊论文、学位论文等多种类型的文献，保证查全率与查准率。保证检索高效统一、系统整合、互联互通、信息共享。</w:t>
            </w:r>
          </w:p>
        </w:tc>
        <w:tc>
          <w:tcPr>
            <w:tcW w:w="1276" w:type="dxa"/>
            <w:tcBorders>
              <w:top w:val="single" w:color="auto" w:sz="4" w:space="0"/>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71" w:type="dxa"/>
            <w:tcBorders>
              <w:left w:val="doub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9</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2.</w:t>
            </w:r>
            <w:r>
              <w:rPr>
                <w:rFonts w:hint="eastAsia"/>
              </w:rPr>
              <w:t>可快速得到学术分析支持，提供多种类型文献统计与分析方式。并能全文获取医院所购图书、期刊、报纸等多种类型的文献。</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1" w:type="dxa"/>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10</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外文期刊</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lang w:val="zh-CN"/>
              </w:rPr>
              <w:t>★使用模式：云租用。建设PubMed数据库的本地化访问，保证检索界面与检索结果与官方一致，并新增大数据分析功能（知识图谱、共词分析、知识发现等），检索结果的图形化显示以及信息的相关链接（期刊分区、影响因子、被引次数等）的展示等。PubMed\Medline由美国国立医学图书馆（NLM）、国际MEDLARS成员（中国为第16个成员国）及合作的专业组织共同研制开发，是目前国际上公认的检索生物医学文献最具权威、利用率最高、影响最广的数据库，也是我国卫生部认定的科技查新必须检索的国外医学数据库、科技部认定的国际五大权威数据库之一。文献总量3450万篇以上。</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（必须提供检索页面截图）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1" w:type="dxa"/>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11</w:t>
            </w:r>
          </w:p>
        </w:tc>
        <w:tc>
          <w:tcPr>
            <w:tcW w:w="1096" w:type="dxa"/>
            <w:tcBorders>
              <w:top w:val="single" w:color="auto" w:sz="4" w:space="0"/>
              <w:left w:val="single" w:color="auto" w:sz="4" w:space="0"/>
              <w:right w:val="single" w:color="auto" w:sz="4" w:space="0"/>
            </w:tcBorders>
            <w:vAlign w:val="center"/>
          </w:tcPr>
          <w:p>
            <w:pPr>
              <w:widowControl/>
              <w:jc w:val="left"/>
            </w:pPr>
            <w:r>
              <w:rPr>
                <w:rFonts w:hint="eastAsia"/>
              </w:rPr>
              <w:t>外文循证医学临床参考数据库</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pPr>
            <w:r>
              <w:rPr>
                <w:rFonts w:hint="eastAsia"/>
              </w:rPr>
              <w:t>数据库是在类似于PubMed产品的基础上，参考美国国立医学图书馆运用PICO设计的检索模式开发而成，系统重点整合了：The Cochrane Library(主要包括Cochrane系统评价资料库(CDSR)、疗效评价文摘库(DARE)、Cochrane临床对照试验注册资料库(CENTRAL)等)； OVID EBM Reviews(OVID循证医学数据库，主要包括ACP Journal Club及Evidence-Based Medicine两种循证医学刊物)； ACP Journal Club(美国医师协会杂志俱乐部，由美国内科医师协会(ACP)和美国内科协会(ASIM)联合主办，主要包括协会出版的网络版循证医学刊物)等</w:t>
            </w:r>
          </w:p>
          <w:p>
            <w:pPr>
              <w:widowControl/>
              <w:ind w:firstLine="420" w:firstLineChars="200"/>
              <w:jc w:val="left"/>
            </w:pPr>
            <w:r>
              <w:rPr>
                <w:rFonts w:hint="eastAsia"/>
              </w:rPr>
              <w:t>提供术语标记语言形式的结论性意见。</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
                <w:bCs/>
                <w:color w:val="000000"/>
                <w:szCs w:val="21"/>
              </w:rPr>
            </w:pPr>
            <w:r>
              <w:rPr>
                <w:rFonts w:hint="eastAsia" w:ascii="宋体" w:hAnsi="宋体" w:cs="宋体"/>
                <w:color w:val="000000"/>
                <w:szCs w:val="21"/>
              </w:rPr>
              <w:t>（必须提供相关内容截图，并在交付周期内重现）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1" w:type="dxa"/>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12</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内外网网关服务器系统配置</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b/>
                <w:bCs/>
                <w:color w:val="000000"/>
                <w:szCs w:val="21"/>
                <w:lang w:val="zh-CN"/>
              </w:rPr>
              <w:t>★</w:t>
            </w:r>
            <w:r>
              <w:rPr>
                <w:rFonts w:hint="eastAsia" w:ascii="宋体" w:hAnsi="宋体" w:cs="宋体"/>
                <w:color w:val="000000"/>
                <w:szCs w:val="21"/>
              </w:rPr>
              <w:t>医院提供服务器，供应商或者厂家提供内外网网关服务器系统配置。通过网关服务器进行配置之后，医护人员可实现通过院内院外网均可以访问使用我院所购买的所有数字文献信息资源。</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p>
        </w:tc>
      </w:tr>
    </w:tbl>
    <w:p>
      <w:pPr>
        <w:pStyle w:val="5"/>
        <w:tabs>
          <w:tab w:val="left" w:pos="600"/>
        </w:tabs>
        <w:spacing w:line="400" w:lineRule="exact"/>
        <w:ind w:firstLine="480" w:firstLineChars="200"/>
        <w:rPr>
          <w:rFonts w:ascii="仿宋" w:hAnsi="仿宋" w:eastAsia="仿宋"/>
          <w:color w:val="000000"/>
          <w:sz w:val="24"/>
          <w:szCs w:val="24"/>
        </w:rPr>
      </w:pPr>
    </w:p>
    <w:p>
      <w:pPr>
        <w:pStyle w:val="3"/>
        <w:jc w:val="center"/>
      </w:pPr>
      <w:r>
        <w:rPr>
          <w:rFonts w:hint="eastAsia"/>
        </w:rPr>
        <w:t>中文期刊、博硕、会议论文要求</w:t>
      </w:r>
    </w:p>
    <w:tbl>
      <w:tblPr>
        <w:tblStyle w:val="7"/>
        <w:tblW w:w="957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96"/>
        <w:gridCol w:w="6727"/>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70" w:type="dxa"/>
            <w:gridSpan w:val="4"/>
            <w:tcBorders>
              <w:top w:val="double" w:color="auto" w:sz="4" w:space="0"/>
              <w:left w:val="double" w:color="auto" w:sz="4" w:space="0"/>
              <w:bottom w:val="single" w:color="auto" w:sz="4" w:space="0"/>
              <w:right w:val="double" w:color="auto" w:sz="4" w:space="0"/>
            </w:tcBorders>
            <w:vAlign w:val="center"/>
          </w:tcPr>
          <w:p>
            <w:pPr>
              <w:widowControl/>
              <w:spacing w:line="360" w:lineRule="auto"/>
              <w:jc w:val="center"/>
              <w:rPr>
                <w:rFonts w:ascii="宋体" w:hAnsi="宋体" w:cs="宋体"/>
                <w:b/>
                <w:szCs w:val="21"/>
              </w:rPr>
            </w:pPr>
            <w:r>
              <w:rPr>
                <w:rFonts w:hint="eastAsia" w:ascii="宋体" w:hAnsi="宋体" w:cs="宋体"/>
                <w:b/>
                <w:kern w:val="0"/>
                <w:sz w:val="24"/>
                <w:szCs w:val="24"/>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71"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宋体" w:hAnsi="宋体" w:cs="宋体"/>
                <w:b/>
                <w:szCs w:val="21"/>
              </w:rPr>
            </w:pPr>
            <w:r>
              <w:rPr>
                <w:rFonts w:hint="eastAsia" w:ascii="宋体" w:hAnsi="宋体" w:cs="宋体"/>
                <w:b/>
                <w:color w:val="000000"/>
                <w:kern w:val="0"/>
                <w:sz w:val="18"/>
                <w:szCs w:val="18"/>
                <w:lang w:val="zh-CN"/>
              </w:rPr>
              <w:t>编号</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kern w:val="0"/>
                <w:sz w:val="24"/>
                <w:szCs w:val="21"/>
                <w:lang w:val="zh-CN"/>
              </w:rPr>
            </w:pPr>
            <w:r>
              <w:rPr>
                <w:rFonts w:hint="eastAsia" w:ascii="宋体" w:hAnsi="宋体" w:cs="宋体"/>
                <w:b/>
                <w:color w:val="000000"/>
                <w:kern w:val="0"/>
                <w:sz w:val="24"/>
                <w:szCs w:val="21"/>
                <w:lang w:val="zh-CN"/>
              </w:rPr>
              <w:t>功能</w:t>
            </w:r>
          </w:p>
          <w:p>
            <w:pPr>
              <w:widowControl/>
              <w:spacing w:line="360" w:lineRule="auto"/>
              <w:jc w:val="center"/>
              <w:rPr>
                <w:rFonts w:ascii="宋体" w:hAnsi="宋体" w:cs="宋体"/>
                <w:b/>
                <w:szCs w:val="21"/>
              </w:rPr>
            </w:pPr>
            <w:r>
              <w:rPr>
                <w:rFonts w:hint="eastAsia" w:ascii="宋体" w:hAnsi="宋体" w:cs="宋体"/>
                <w:b/>
                <w:color w:val="000000"/>
                <w:kern w:val="0"/>
                <w:sz w:val="24"/>
                <w:szCs w:val="21"/>
                <w:lang w:val="zh-CN"/>
              </w:rPr>
              <w:t>类别</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Cs w:val="21"/>
              </w:rPr>
            </w:pPr>
            <w:r>
              <w:rPr>
                <w:rFonts w:hint="eastAsia" w:ascii="宋体" w:hAnsi="宋体" w:cs="宋体"/>
                <w:b/>
                <w:color w:val="000000"/>
                <w:kern w:val="0"/>
                <w:sz w:val="24"/>
                <w:szCs w:val="21"/>
                <w:lang w:val="zh-CN"/>
              </w:rPr>
              <w:t>功能要求</w:t>
            </w:r>
          </w:p>
        </w:tc>
        <w:tc>
          <w:tcPr>
            <w:tcW w:w="1276"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center"/>
              <w:rPr>
                <w:rFonts w:ascii="宋体" w:hAnsi="宋体" w:cs="宋体"/>
                <w:b/>
                <w:szCs w:val="21"/>
              </w:rPr>
            </w:pPr>
            <w:r>
              <w:rPr>
                <w:rFonts w:hint="eastAsia" w:ascii="宋体" w:hAnsi="宋体" w:cs="宋体"/>
                <w:b/>
                <w:color w:val="000000"/>
                <w:kern w:val="0"/>
                <w:sz w:val="24"/>
                <w:szCs w:val="21"/>
                <w:lang w:val="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tcBorders>
              <w:top w:val="single" w:color="auto" w:sz="4" w:space="0"/>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1096" w:type="dxa"/>
            <w:vMerge w:val="restart"/>
            <w:tcBorders>
              <w:left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中文期刊</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lang w:val="zh-CN"/>
              </w:rPr>
              <w:t>使用模式：云</w:t>
            </w:r>
            <w:r>
              <w:rPr>
                <w:rFonts w:hint="eastAsia" w:ascii="宋体" w:hAnsi="宋体" w:cs="宋体"/>
                <w:color w:val="000000"/>
                <w:szCs w:val="21"/>
              </w:rPr>
              <w:t>托管</w:t>
            </w:r>
            <w:r>
              <w:rPr>
                <w:rFonts w:hint="eastAsia" w:ascii="宋体" w:hAnsi="宋体" w:cs="宋体"/>
                <w:color w:val="000000"/>
                <w:szCs w:val="21"/>
                <w:lang w:val="zh-CN"/>
              </w:rPr>
              <w:t>。</w:t>
            </w:r>
            <w:r>
              <w:rPr>
                <w:rFonts w:hint="eastAsia" w:ascii="宋体" w:hAnsi="宋体" w:cs="宋体"/>
                <w:color w:val="000000"/>
                <w:szCs w:val="21"/>
              </w:rPr>
              <w:t>合同期满后可将本年度订购数据镜像安装在本院服务器内永久拥有。</w:t>
            </w:r>
          </w:p>
          <w:p>
            <w:pPr>
              <w:widowControl/>
              <w:jc w:val="left"/>
              <w:rPr>
                <w:rFonts w:ascii="宋体" w:hAnsi="宋体" w:cs="宋体"/>
                <w:color w:val="000000"/>
                <w:szCs w:val="21"/>
              </w:rPr>
            </w:pPr>
            <w:r>
              <w:rPr>
                <w:rFonts w:hint="eastAsia" w:ascii="宋体" w:hAnsi="宋体" w:cs="宋体"/>
                <w:color w:val="000000"/>
                <w:szCs w:val="21"/>
              </w:rPr>
              <w:t>1.内容要求：中国公开出版发行的医学及医学相关期刊（含英文版）全文文献，内容涵盖基础医学、临床医学、预防医学、中国医学、 药学、特种医学、生物科学、经营管理、图书情报、计算机及应用、医学教育与外语学习等；</w:t>
            </w:r>
          </w:p>
        </w:tc>
        <w:tc>
          <w:tcPr>
            <w:tcW w:w="1276" w:type="dxa"/>
            <w:tcBorders>
              <w:top w:val="single" w:color="auto" w:sz="4" w:space="0"/>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2.时间范围： 2021年及以前。</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3.数据更新：出版时效平均不迟于纸质期刊出版之后2个月，网络数据每日更新；</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lang w:val="zh-CN"/>
              </w:rPr>
              <w:t>★</w:t>
            </w:r>
            <w:r>
              <w:rPr>
                <w:rFonts w:hint="eastAsia" w:ascii="宋体" w:hAnsi="宋体" w:cs="宋体"/>
                <w:color w:val="000000"/>
                <w:szCs w:val="21"/>
              </w:rPr>
              <w:t>必须具备在线浏览及本地下载全文功能；</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5.</w:t>
            </w:r>
            <w:r>
              <w:rPr>
                <w:rFonts w:hint="eastAsia" w:ascii="宋体" w:hAnsi="宋体" w:cs="宋体"/>
                <w:szCs w:val="21"/>
                <w:lang w:val="zh-CN"/>
              </w:rPr>
              <w:t>★</w:t>
            </w:r>
            <w:r>
              <w:rPr>
                <w:rFonts w:hint="eastAsia" w:ascii="宋体" w:hAnsi="宋体" w:cs="宋体"/>
                <w:color w:val="000000"/>
                <w:szCs w:val="21"/>
              </w:rPr>
              <w:t>期刊库为“卫生部医药卫生科技项目查新使用数据库”</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（必须提供相关内容扫描件）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6.</w:t>
            </w:r>
            <w:r>
              <w:rPr>
                <w:rFonts w:hint="eastAsia" w:ascii="宋体" w:hAnsi="宋体" w:cs="宋体"/>
                <w:color w:val="000000"/>
                <w:szCs w:val="21"/>
                <w:lang w:val="zh-CN"/>
              </w:rPr>
              <w:t>★</w:t>
            </w:r>
            <w:r>
              <w:rPr>
                <w:rFonts w:hint="eastAsia" w:ascii="宋体" w:hAnsi="宋体" w:cs="宋体"/>
                <w:color w:val="000000"/>
                <w:szCs w:val="21"/>
              </w:rPr>
              <w:t>提供智能检索、句子检索等检索功能；且须提供句子检索截图证明；提供：主要主题词、主题词、分类、期刊年限、刊名、作者、第一作者、作者单位、题名、关键词、摘要、题名&amp;关键词&amp;摘要、参考文献、全文等多种检索项，并支持模糊和精确检索；</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lang w:val="zh-CN"/>
              </w:rPr>
              <w:t>★</w:t>
            </w:r>
            <w:r>
              <w:rPr>
                <w:rFonts w:hint="eastAsia" w:ascii="宋体" w:hAnsi="宋体" w:cs="宋体"/>
                <w:color w:val="000000"/>
                <w:szCs w:val="21"/>
              </w:rPr>
              <w:t>网络版支持实质整合PubMed数据，实现中外文献一站式检索并统一分析；</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（必须提供相关内容截图）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8.</w:t>
            </w:r>
            <w:r>
              <w:rPr>
                <w:rFonts w:hint="eastAsia" w:ascii="宋体" w:hAnsi="宋体" w:cs="宋体"/>
                <w:color w:val="000000"/>
                <w:szCs w:val="21"/>
                <w:lang w:val="zh-CN"/>
              </w:rPr>
              <w:t>★</w:t>
            </w:r>
            <w:r>
              <w:rPr>
                <w:rFonts w:hint="eastAsia" w:ascii="宋体" w:hAnsi="宋体" w:cs="宋体"/>
                <w:color w:val="000000"/>
                <w:szCs w:val="21"/>
              </w:rPr>
              <w:t>网络版平台支持检索获取医学最新“网络首发”文献，方便用户快速发现最新文献，且能提供截图证明文件；</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（必须提供相关内容截图）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9.</w:t>
            </w:r>
            <w:r>
              <w:rPr>
                <w:rFonts w:hint="eastAsia" w:ascii="宋体" w:hAnsi="宋体" w:cs="宋体"/>
                <w:color w:val="000000"/>
                <w:szCs w:val="21"/>
                <w:lang w:val="zh-CN"/>
              </w:rPr>
              <w:t>★</w:t>
            </w:r>
            <w:r>
              <w:rPr>
                <w:rFonts w:hint="eastAsia" w:ascii="宋体" w:hAnsi="宋体" w:cs="宋体"/>
                <w:color w:val="000000"/>
                <w:szCs w:val="21"/>
              </w:rPr>
              <w:t>网络版部分全文支持HTML阅读模式阅读全文，且提供截图证明文件；提供参考文献、引证文献、共引文献、同被引文献等知网节链接，实现文献深度挖掘的重要功能；</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（必须提供相关内容截图）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0</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10.检索结果提供按照不同作者、作者单位以及研究层次等3种以上分组方式，提供发表时间、下载频次、被引频次等不少于3种排序方式；</w:t>
            </w:r>
          </w:p>
          <w:p>
            <w:pPr>
              <w:widowControl/>
              <w:jc w:val="left"/>
              <w:rPr>
                <w:rFonts w:ascii="宋体" w:hAnsi="宋体" w:cs="宋体"/>
                <w:color w:val="000000"/>
                <w:szCs w:val="21"/>
              </w:rPr>
            </w:pPr>
            <w:r>
              <w:rPr>
                <w:rFonts w:hint="eastAsia" w:ascii="宋体" w:hAnsi="宋体" w:cs="宋体"/>
                <w:color w:val="000000"/>
                <w:szCs w:val="21"/>
              </w:rPr>
              <w:t>可实现对用户的访问和使用情况进行详细的记录，并进行统计分析。可按时间、用户、IP地址等方式进行统计分析；</w:t>
            </w:r>
          </w:p>
          <w:p>
            <w:pPr>
              <w:widowControl/>
              <w:jc w:val="left"/>
              <w:rPr>
                <w:rFonts w:ascii="宋体" w:hAnsi="宋体" w:cs="宋体"/>
                <w:color w:val="000000"/>
                <w:szCs w:val="21"/>
              </w:rPr>
            </w:pPr>
            <w:r>
              <w:rPr>
                <w:rFonts w:hint="eastAsia" w:ascii="宋体" w:hAnsi="宋体" w:cs="宋体"/>
                <w:color w:val="000000"/>
                <w:szCs w:val="21"/>
              </w:rPr>
              <w:t>导航体系：提供分类导航、知识导航与期刊导航；</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1</w:t>
            </w:r>
          </w:p>
        </w:tc>
        <w:tc>
          <w:tcPr>
            <w:tcW w:w="1096" w:type="dxa"/>
            <w:vMerge w:val="continue"/>
            <w:tcBorders>
              <w:left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11.</w:t>
            </w:r>
            <w:r>
              <w:rPr>
                <w:rFonts w:hint="eastAsia" w:ascii="宋体" w:hAnsi="宋体" w:cs="宋体"/>
                <w:color w:val="000000"/>
                <w:szCs w:val="21"/>
                <w:lang w:val="zh-CN"/>
              </w:rPr>
              <w:t>★</w:t>
            </w:r>
            <w:r>
              <w:rPr>
                <w:rFonts w:hint="eastAsia" w:ascii="宋体" w:hAnsi="宋体" w:cs="宋体"/>
                <w:color w:val="000000"/>
                <w:szCs w:val="21"/>
              </w:rPr>
              <w:t>该数据库文件阅读器为具有自主知识产权的阅读器，支持打开PDF文档，且实现文字复制粘贴功能，支持划词链接功能；且能提供截图证明文件；</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（必须提供相关内容截图）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71" w:type="dxa"/>
            <w:tcBorders>
              <w:left w:val="doub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2</w:t>
            </w:r>
          </w:p>
        </w:tc>
        <w:tc>
          <w:tcPr>
            <w:tcW w:w="10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12.具有医学专业主题智能分类系统，每年更新，与国际接轨，能提供如“协同共疫作用、屏幕时间、医疗保健相关性肺炎、阿法替尼、网络欺凌、交通污染”主题词检索；</w:t>
            </w:r>
          </w:p>
        </w:tc>
        <w:tc>
          <w:tcPr>
            <w:tcW w:w="1276" w:type="dxa"/>
            <w:tcBorders>
              <w:left w:val="single" w:color="auto" w:sz="4" w:space="0"/>
              <w:right w:val="doub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（必须提供相关内容截图）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1" w:type="dxa"/>
            <w:tcBorders>
              <w:left w:val="doub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3</w:t>
            </w:r>
            <w:bookmarkStart w:id="3" w:name="_GoBack"/>
            <w:bookmarkEnd w:id="3"/>
          </w:p>
        </w:tc>
        <w:tc>
          <w:tcPr>
            <w:tcW w:w="10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6727"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sz w:val="21"/>
                <w:szCs w:val="22"/>
              </w:rPr>
              <w:t>13.</w:t>
            </w:r>
            <w:r>
              <w:rPr>
                <w:rFonts w:hint="eastAsia"/>
                <w:sz w:val="21"/>
                <w:szCs w:val="22"/>
                <w:lang w:val="zh-CN"/>
              </w:rPr>
              <w:t>★</w:t>
            </w:r>
            <w:r>
              <w:rPr>
                <w:rFonts w:hint="eastAsia"/>
                <w:sz w:val="21"/>
                <w:szCs w:val="22"/>
              </w:rPr>
              <w:t>合同期内，按合同约定数据库和期刊网络版服务内容，提供检索、浏览、下载等服务。</w:t>
            </w:r>
          </w:p>
        </w:tc>
        <w:tc>
          <w:tcPr>
            <w:tcW w:w="1276" w:type="dxa"/>
            <w:tcBorders>
              <w:left w:val="single" w:color="auto" w:sz="4" w:space="0"/>
              <w:bottom w:val="single" w:color="auto" w:sz="4" w:space="0"/>
              <w:right w:val="double" w:color="auto" w:sz="4" w:space="0"/>
            </w:tcBorders>
            <w:vAlign w:val="center"/>
          </w:tcPr>
          <w:p>
            <w:pPr>
              <w:widowControl/>
              <w:jc w:val="left"/>
              <w:rPr>
                <w:rFonts w:ascii="宋体" w:hAnsi="宋体" w:cs="宋体"/>
                <w:color w:val="000000"/>
                <w:szCs w:val="21"/>
              </w:rPr>
            </w:pPr>
          </w:p>
        </w:tc>
      </w:tr>
    </w:tbl>
    <w:p>
      <w:pPr>
        <w:pStyle w:val="5"/>
        <w:tabs>
          <w:tab w:val="left" w:pos="600"/>
        </w:tabs>
        <w:spacing w:line="400" w:lineRule="exact"/>
        <w:ind w:firstLine="640" w:firstLineChars="200"/>
      </w:pPr>
    </w:p>
    <w:p>
      <w:pPr>
        <w:pStyle w:val="5"/>
        <w:tabs>
          <w:tab w:val="left" w:pos="600"/>
        </w:tabs>
        <w:spacing w:line="400" w:lineRule="exact"/>
        <w:ind w:firstLine="640" w:firstLineChars="200"/>
      </w:pPr>
    </w:p>
    <w:p>
      <w:pPr>
        <w:rPr>
          <w:rFonts w:ascii="方正仿宋_GB2312" w:hAnsi="方正仿宋_GB2312" w:eastAsia="方正仿宋_GB2312" w:cs="方正仿宋_GB2312"/>
          <w:b/>
          <w:sz w:val="30"/>
          <w:szCs w:val="30"/>
        </w:rPr>
      </w:pPr>
    </w:p>
    <w:p>
      <w:pPr>
        <w:adjustRightInd w:val="0"/>
        <w:snapToGrid w:val="0"/>
        <w:spacing w:before="156" w:beforeLines="50" w:after="156" w:afterLines="50" w:line="360" w:lineRule="auto"/>
        <w:outlineLvl w:val="0"/>
        <w:rPr>
          <w:rFonts w:ascii="微软雅黑" w:hAnsi="微软雅黑" w:eastAsia="微软雅黑"/>
          <w:b/>
          <w:color w:val="000000" w:themeColor="text1"/>
          <w:sz w:val="28"/>
          <w:szCs w:val="21"/>
          <w14:textFill>
            <w14:solidFill>
              <w14:schemeClr w14:val="tx1"/>
            </w14:solidFill>
          </w14:textFill>
        </w:rPr>
      </w:pPr>
      <w:r>
        <w:rPr>
          <w:rFonts w:hint="eastAsia" w:ascii="微软雅黑" w:hAnsi="微软雅黑" w:eastAsia="微软雅黑"/>
          <w:b/>
          <w:color w:val="000000" w:themeColor="text1"/>
          <w:sz w:val="28"/>
          <w:szCs w:val="21"/>
          <w14:textFill>
            <w14:solidFill>
              <w14:schemeClr w14:val="tx1"/>
            </w14:solidFill>
          </w14:textFill>
        </w:rPr>
        <w:t>附件2：</w:t>
      </w:r>
    </w:p>
    <w:p>
      <w:pPr>
        <w:spacing w:line="0" w:lineRule="atLeast"/>
        <w:jc w:val="center"/>
        <w:rPr>
          <w:rFonts w:ascii="黑体" w:hAnsi="宋体" w:eastAsia="黑体"/>
          <w:bCs/>
          <w:sz w:val="32"/>
          <w:szCs w:val="32"/>
        </w:rPr>
      </w:pP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1、封面（公司、项目、联系人、联系方式）</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2、目录</w:t>
      </w:r>
    </w:p>
    <w:p>
      <w:pPr>
        <w:tabs>
          <w:tab w:val="left" w:pos="0"/>
        </w:tabs>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3、品目及报价表（格式见附件1）</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4、规格型号、配置及偏离表（格式见附件3）</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5、企业营业执照（复印件）</w:t>
      </w:r>
    </w:p>
    <w:p>
      <w:pPr>
        <w:spacing w:line="0" w:lineRule="atLeast"/>
        <w:ind w:firstLine="592" w:firstLineChars="200"/>
        <w:rPr>
          <w:rFonts w:ascii="微软雅黑" w:hAnsi="微软雅黑" w:eastAsia="微软雅黑"/>
          <w:sz w:val="28"/>
          <w:szCs w:val="28"/>
        </w:rPr>
      </w:pPr>
      <w:r>
        <w:rPr>
          <w:rFonts w:hint="eastAsia" w:ascii="微软雅黑" w:hAnsi="微软雅黑" w:eastAsia="微软雅黑"/>
          <w:bCs/>
          <w:spacing w:val="8"/>
          <w:sz w:val="28"/>
          <w:szCs w:val="28"/>
        </w:rPr>
        <w:t>6、</w:t>
      </w:r>
      <w:r>
        <w:rPr>
          <w:rFonts w:hint="eastAsia" w:ascii="微软雅黑" w:hAnsi="微软雅黑" w:eastAsia="微软雅黑"/>
          <w:sz w:val="28"/>
          <w:szCs w:val="28"/>
        </w:rPr>
        <w:t>组织机构代码证、税务登记证（复印件）</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7、法定代表人授权书（原件，格式见附件3）暨经办人授权书，法人、经办人身份证（复印件）</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8、生产厂家授权书（投标人不是生产厂家的）</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9、</w:t>
      </w:r>
      <w:r>
        <w:rPr>
          <w:rFonts w:hint="eastAsia" w:ascii="微软雅黑" w:hAnsi="微软雅黑" w:eastAsia="微软雅黑"/>
          <w:bCs/>
          <w:sz w:val="28"/>
          <w:szCs w:val="28"/>
        </w:rPr>
        <w:t>如有</w:t>
      </w:r>
      <w:r>
        <w:rPr>
          <w:rFonts w:hint="eastAsia" w:ascii="微软雅黑" w:hAnsi="微软雅黑" w:eastAsia="微软雅黑"/>
          <w:sz w:val="28"/>
          <w:szCs w:val="28"/>
        </w:rPr>
        <w:t>产品质量和企业管理体系认证（考核），请提供的有效证明文件的复印或扫描件，质量管理体系认证包括FDA、CE、ISO等认证（提供中文翻译复印件）</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10、质量检测中心或法定机构出具的产品检测报告，性能自测报告，出厂检验报告的复印或扫描件</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11、如有其他证书：产品在技术、节能、安全、环保和自主创新方面获得的认证证书或制造厂家和产品所获国家级荣誉称号等复印或扫描件</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bCs/>
          <w:sz w:val="28"/>
          <w:szCs w:val="28"/>
        </w:rPr>
        <w:t>12、</w:t>
      </w:r>
      <w:r>
        <w:rPr>
          <w:rFonts w:hint="eastAsia" w:ascii="微软雅黑" w:hAnsi="微软雅黑" w:eastAsia="微软雅黑"/>
          <w:sz w:val="28"/>
          <w:szCs w:val="28"/>
        </w:rPr>
        <w:t>产品执行标准（提供产品注册标准：YZB等资料供评审）</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13、</w:t>
      </w:r>
      <w:r>
        <w:rPr>
          <w:rFonts w:hint="eastAsia" w:ascii="微软雅黑" w:hAnsi="微软雅黑" w:eastAsia="微软雅黑"/>
          <w:bCs/>
          <w:sz w:val="28"/>
          <w:szCs w:val="28"/>
        </w:rPr>
        <w:t>产品质量及货源保证书</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14、</w:t>
      </w:r>
      <w:r>
        <w:rPr>
          <w:rFonts w:hint="eastAsia" w:ascii="微软雅黑" w:hAnsi="微软雅黑" w:eastAsia="微软雅黑"/>
          <w:bCs/>
          <w:spacing w:val="8"/>
          <w:sz w:val="28"/>
          <w:szCs w:val="28"/>
        </w:rPr>
        <w:t>售后</w:t>
      </w:r>
      <w:r>
        <w:rPr>
          <w:rFonts w:hint="eastAsia" w:ascii="微软雅黑" w:hAnsi="微软雅黑" w:eastAsia="微软雅黑"/>
          <w:bCs/>
          <w:sz w:val="28"/>
          <w:szCs w:val="28"/>
        </w:rPr>
        <w:t>服务承诺书</w:t>
      </w:r>
    </w:p>
    <w:p>
      <w:pPr>
        <w:spacing w:line="0" w:lineRule="atLeast"/>
        <w:ind w:firstLine="560" w:firstLineChars="200"/>
        <w:rPr>
          <w:rFonts w:ascii="微软雅黑" w:hAnsi="微软雅黑" w:eastAsia="微软雅黑"/>
          <w:sz w:val="28"/>
          <w:szCs w:val="28"/>
        </w:rPr>
      </w:pPr>
      <w:r>
        <w:rPr>
          <w:rFonts w:hint="eastAsia" w:ascii="微软雅黑" w:hAnsi="微软雅黑" w:eastAsia="微软雅黑"/>
          <w:sz w:val="28"/>
          <w:szCs w:val="28"/>
        </w:rPr>
        <w:t>15、</w:t>
      </w:r>
      <w:r>
        <w:rPr>
          <w:rFonts w:hint="eastAsia" w:ascii="微软雅黑" w:hAnsi="微软雅黑" w:eastAsia="微软雅黑"/>
          <w:bCs/>
          <w:spacing w:val="8"/>
          <w:sz w:val="28"/>
          <w:szCs w:val="28"/>
        </w:rPr>
        <w:t>如有，提供进口原材料证明书或产品报关资料等</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16、产品说明书或</w:t>
      </w:r>
      <w:r>
        <w:rPr>
          <w:rFonts w:hint="eastAsia" w:ascii="微软雅黑" w:hAnsi="微软雅黑" w:eastAsia="微软雅黑"/>
          <w:sz w:val="28"/>
          <w:szCs w:val="28"/>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17、</w:t>
      </w:r>
      <w:r>
        <w:rPr>
          <w:rFonts w:hint="eastAsia" w:ascii="微软雅黑" w:hAnsi="微软雅黑" w:eastAsia="微软雅黑"/>
          <w:bCs/>
          <w:sz w:val="28"/>
          <w:szCs w:val="28"/>
        </w:rPr>
        <w:t>如有物流公司配送，请提供</w:t>
      </w:r>
      <w:r>
        <w:rPr>
          <w:rFonts w:hint="eastAsia" w:ascii="微软雅黑" w:hAnsi="微软雅黑" w:eastAsia="微软雅黑"/>
          <w:sz w:val="28"/>
          <w:szCs w:val="28"/>
        </w:rPr>
        <w:t>配送证明材料：配送商基本情况、配送商营业执照复印件、配送商经营许可证复印件</w:t>
      </w:r>
    </w:p>
    <w:p>
      <w:pPr>
        <w:spacing w:line="0" w:lineRule="atLeast"/>
        <w:ind w:firstLine="592" w:firstLineChars="200"/>
        <w:rPr>
          <w:rFonts w:ascii="微软雅黑" w:hAnsi="微软雅黑" w:eastAsia="微软雅黑"/>
          <w:bCs/>
          <w:spacing w:val="8"/>
          <w:sz w:val="28"/>
          <w:szCs w:val="28"/>
        </w:rPr>
      </w:pPr>
      <w:r>
        <w:rPr>
          <w:rFonts w:hint="eastAsia" w:ascii="微软雅黑" w:hAnsi="微软雅黑" w:eastAsia="微软雅黑"/>
          <w:bCs/>
          <w:spacing w:val="8"/>
          <w:sz w:val="28"/>
          <w:szCs w:val="28"/>
        </w:rPr>
        <w:t>18、</w:t>
      </w:r>
      <w:r>
        <w:rPr>
          <w:rFonts w:hint="eastAsia" w:ascii="微软雅黑" w:hAnsi="微软雅黑" w:eastAsia="微软雅黑"/>
          <w:sz w:val="28"/>
          <w:szCs w:val="28"/>
        </w:rPr>
        <w:t>如有，国家规定的其它相关资质证明文件或其它涉及特许经营许可的须提供相关证书。如：卫生许可证、药品经营许可证、生产批件或新药证书等；</w:t>
      </w:r>
    </w:p>
    <w:p>
      <w:pPr>
        <w:spacing w:line="0" w:lineRule="atLeast"/>
        <w:ind w:firstLine="592" w:firstLineChars="200"/>
        <w:rPr>
          <w:rFonts w:ascii="微软雅黑" w:hAnsi="微软雅黑" w:eastAsia="微软雅黑"/>
          <w:sz w:val="28"/>
          <w:szCs w:val="28"/>
        </w:rPr>
      </w:pPr>
      <w:r>
        <w:rPr>
          <w:rFonts w:hint="eastAsia" w:ascii="微软雅黑" w:hAnsi="微软雅黑" w:eastAsia="微软雅黑"/>
          <w:bCs/>
          <w:spacing w:val="8"/>
          <w:sz w:val="28"/>
          <w:szCs w:val="28"/>
        </w:rPr>
        <w:t>19、封底</w:t>
      </w:r>
    </w:p>
    <w:p>
      <w:pPr>
        <w:tabs>
          <w:tab w:val="left" w:pos="0"/>
        </w:tabs>
        <w:spacing w:line="0" w:lineRule="atLeast"/>
        <w:ind w:firstLine="560" w:firstLineChars="200"/>
        <w:rPr>
          <w:rFonts w:ascii="微软雅黑" w:hAnsi="微软雅黑" w:eastAsia="微软雅黑"/>
          <w:bCs/>
          <w:sz w:val="28"/>
          <w:szCs w:val="28"/>
        </w:rPr>
      </w:pPr>
    </w:p>
    <w:p>
      <w:pPr>
        <w:spacing w:line="0" w:lineRule="atLeast"/>
        <w:rPr>
          <w:rFonts w:ascii="微软雅黑" w:hAnsi="微软雅黑" w:eastAsia="微软雅黑"/>
          <w:b/>
          <w:sz w:val="28"/>
          <w:szCs w:val="28"/>
        </w:rPr>
      </w:pPr>
      <w:r>
        <w:rPr>
          <w:rFonts w:hint="eastAsia" w:ascii="微软雅黑" w:hAnsi="微软雅黑" w:eastAsia="微软雅黑"/>
          <w:b/>
          <w:bCs/>
          <w:sz w:val="28"/>
          <w:szCs w:val="28"/>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微软雅黑" w:hAnsi="微软雅黑" w:eastAsia="微软雅黑"/>
          <w:sz w:val="32"/>
          <w:szCs w:val="32"/>
        </w:rPr>
      </w:pPr>
      <w:r>
        <w:rPr>
          <w:rFonts w:hint="eastAsia" w:ascii="微软雅黑" w:hAnsi="微软雅黑" w:eastAsia="微软雅黑"/>
          <w:sz w:val="32"/>
          <w:szCs w:val="32"/>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heme="minorBidi"/>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heme="minorBidi"/>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heme="minorBidi"/>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7"/>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heme="minorBidi"/>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4"/>
        <w:tabs>
          <w:tab w:val="left" w:pos="540"/>
        </w:tabs>
        <w:ind w:left="720" w:hanging="720"/>
        <w:jc w:val="center"/>
        <w:rPr>
          <w:rFonts w:ascii="微软雅黑" w:hAnsi="微软雅黑" w:eastAsia="微软雅黑"/>
          <w:b w:val="0"/>
          <w:lang w:val="zh-CN"/>
        </w:rPr>
      </w:pPr>
      <w:bookmarkStart w:id="0" w:name="_Toc95295163"/>
      <w:bookmarkStart w:id="1" w:name="_Toc237343703"/>
      <w:bookmarkStart w:id="2" w:name="_Toc17476723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1"/>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tabs>
          <w:tab w:val="left" w:pos="6645"/>
        </w:tabs>
        <w:spacing w:line="360" w:lineRule="auto"/>
        <w:rPr>
          <w:rFonts w:ascii="微软雅黑" w:hAnsi="微软雅黑" w:eastAsia="微软雅黑"/>
          <w:sz w:val="32"/>
          <w:szCs w:val="32"/>
        </w:rPr>
      </w:pPr>
      <w:r>
        <w:rPr>
          <w:rFonts w:hint="eastAsia" w:ascii="微软雅黑" w:hAnsi="微软雅黑" w:eastAsia="微软雅黑"/>
          <w:sz w:val="32"/>
          <w:szCs w:val="32"/>
        </w:rPr>
        <w:t>附件4：</w:t>
      </w:r>
    </w:p>
    <w:p>
      <w:pPr>
        <w:tabs>
          <w:tab w:val="left" w:pos="6645"/>
        </w:tabs>
        <w:spacing w:line="360" w:lineRule="auto"/>
        <w:jc w:val="center"/>
        <w:rPr>
          <w:rFonts w:ascii="微软雅黑" w:hAnsi="微软雅黑" w:eastAsia="微软雅黑"/>
          <w:sz w:val="32"/>
          <w:szCs w:val="32"/>
        </w:rPr>
      </w:pPr>
      <w:r>
        <w:rPr>
          <w:rFonts w:hint="eastAsia" w:ascii="微软雅黑" w:hAnsi="微软雅黑" w:eastAsia="微软雅黑"/>
          <w:sz w:val="32"/>
          <w:szCs w:val="32"/>
        </w:rPr>
        <w:t>反商业贿赂承诺书</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20" w:firstLineChars="200"/>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 xml:space="preserve">六、 采购物资名称：                                   </w:t>
      </w:r>
    </w:p>
    <w:p>
      <w:pPr>
        <w:spacing w:line="360" w:lineRule="auto"/>
        <w:rPr>
          <w:rFonts w:ascii="微软雅黑" w:hAnsi="微软雅黑" w:eastAsia="微软雅黑"/>
          <w:szCs w:val="21"/>
        </w:rPr>
      </w:pP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spacing w:line="360" w:lineRule="auto"/>
        <w:rPr>
          <w:rFonts w:ascii="微软雅黑" w:hAnsi="微软雅黑" w:eastAsia="微软雅黑"/>
        </w:rPr>
      </w:pPr>
      <w:r>
        <w:rPr>
          <w:rFonts w:hint="eastAsia" w:ascii="微软雅黑" w:hAnsi="微软雅黑" w:eastAsia="微软雅黑"/>
          <w:szCs w:val="21"/>
        </w:rPr>
        <w:t xml:space="preserve">承诺企业名称（公章）                     法人代表或委托代理人（承诺人）  </w:t>
      </w:r>
    </w:p>
    <w:p>
      <w:pPr>
        <w:rPr>
          <w:rFonts w:ascii="微软雅黑" w:hAnsi="微软雅黑" w:eastAsia="微软雅黑"/>
          <w:sz w:val="24"/>
          <w:szCs w:val="24"/>
        </w:rPr>
      </w:pPr>
    </w:p>
    <w:p>
      <w:pPr>
        <w:pStyle w:val="5"/>
        <w:tabs>
          <w:tab w:val="left" w:pos="600"/>
        </w:tabs>
        <w:spacing w:line="400" w:lineRule="exact"/>
        <w:ind w:firstLine="64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35"/>
    <w:rsid w:val="001550BD"/>
    <w:rsid w:val="001617BD"/>
    <w:rsid w:val="00174F14"/>
    <w:rsid w:val="00277E0F"/>
    <w:rsid w:val="003C34B7"/>
    <w:rsid w:val="006C56CE"/>
    <w:rsid w:val="007A6335"/>
    <w:rsid w:val="008659B6"/>
    <w:rsid w:val="00AA4CFA"/>
    <w:rsid w:val="00EA3968"/>
    <w:rsid w:val="00ED2936"/>
    <w:rsid w:val="6F08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5">
    <w:name w:val="Body Text Indent"/>
    <w:basedOn w:val="1"/>
    <w:qFormat/>
    <w:uiPriority w:val="0"/>
    <w:pPr>
      <w:ind w:firstLine="630"/>
    </w:pPr>
    <w:rPr>
      <w:sz w:val="32"/>
      <w:szCs w:val="20"/>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widowControl/>
      <w:spacing w:after="160" w:line="259" w:lineRule="auto"/>
      <w:ind w:firstLine="420" w:firstLineChars="200"/>
      <w:jc w:val="left"/>
    </w:pPr>
    <w:rPr>
      <w:kern w:val="0"/>
      <w:sz w:val="22"/>
    </w:rPr>
  </w:style>
  <w:style w:type="character" w:customStyle="1" w:styleId="11">
    <w:name w:val="标题 2 字符"/>
    <w:basedOn w:val="9"/>
    <w:link w:val="4"/>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989</Words>
  <Characters>5643</Characters>
  <Lines>47</Lines>
  <Paragraphs>13</Paragraphs>
  <TotalTime>4</TotalTime>
  <ScaleCrop>false</ScaleCrop>
  <LinksUpToDate>false</LinksUpToDate>
  <CharactersWithSpaces>6619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2021-10-14T11:26:00Z</dcterms:created>
  <dc:creator>yangxm</dc:creator>
  <cp:lastModifiedBy>shc</cp:lastModifiedBy>
  <dcterms:modified xsi:type="dcterms:W3CDTF">2021-10-16T09:44:55Z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5d290dc163a14032895cc127bba87cf3</vt:lpwstr>
  </property>
</Properties>
</file>