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5"/>
        <w:tblW w:w="911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8"/>
        <w:gridCol w:w="5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督脉熏蒸床</w:t>
            </w:r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温经通络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用于月经病、产后病、妇科杂病等，如痛经、月经失调、更年期综合征、产后身痛、慢性盆腔痛等。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0"/>
                <w:szCs w:val="20"/>
                <w:lang w:val="en-US" w:eastAsia="zh-CN"/>
              </w:rPr>
              <w:t>中药熏蒸治疗仪</w:t>
            </w:r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Times New Roman"/>
                <w:kern w:val="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0"/>
                <w:szCs w:val="20"/>
                <w:lang w:val="en-US" w:eastAsia="zh-CN"/>
              </w:rPr>
              <w:t>利用药物煎煮所产生的蒸汽，熏蒸机体透皮给药的疗法，能适用于小儿常见病、关节炎、盆腔炎、各种颈肩腰腿疼、以及小儿神经损伤、脑瘫、发育迟缓等疾病治疗的需求</w:t>
            </w:r>
            <w:r>
              <w:rPr>
                <w:rFonts w:hint="eastAsia" w:ascii="Calibri" w:hAnsi="Calibri" w:eastAsia="宋体" w:cs="Times New Roman"/>
                <w:kern w:val="0"/>
                <w:szCs w:val="20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血液灌流机</w:t>
            </w:r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  <w:lang w:val="en-US" w:eastAsia="zh-CN"/>
              </w:rPr>
              <w:t>用于血液灌流，血浆置换，免疫吸附，CRRT</w:t>
            </w: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。</w:t>
            </w:r>
            <w:r>
              <w:rPr>
                <w:rFonts w:hint="eastAsia" w:ascii="Calibri" w:hAnsi="Calibri" w:eastAsia="宋体" w:cs="Times New Roman"/>
                <w:kern w:val="0"/>
                <w:szCs w:val="20"/>
                <w:lang w:val="en-US" w:eastAsia="zh-CN"/>
              </w:rPr>
              <w:t>要求：能满足一岁或者10公斤的患者。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30B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3610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  <w:rsid w:val="293C2A2E"/>
    <w:rsid w:val="33102787"/>
    <w:rsid w:val="5B796B3E"/>
    <w:rsid w:val="62450715"/>
    <w:rsid w:val="6A275865"/>
    <w:rsid w:val="71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330</Characters>
  <Lines>2</Lines>
  <Paragraphs>1</Paragraphs>
  <TotalTime>4</TotalTime>
  <ScaleCrop>false</ScaleCrop>
  <LinksUpToDate>false</LinksUpToDate>
  <CharactersWithSpaces>386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2021-10-21T03:35:07Z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