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outlineLvl w:val="0"/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附件1:采购项目要求</w:t>
      </w:r>
    </w:p>
    <w:p>
      <w:pPr>
        <w:pStyle w:val="3"/>
        <w:rPr>
          <w:rFonts w:hint="eastAsia"/>
        </w:rPr>
      </w:pPr>
    </w:p>
    <w:p>
      <w:pPr>
        <w:pStyle w:val="4"/>
        <w:numPr>
          <w:ilvl w:val="0"/>
          <w:numId w:val="0"/>
        </w:numPr>
        <w:spacing w:line="276" w:lineRule="auto"/>
        <w:jc w:val="both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（一）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商务要求：“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*”的条款为本项目的实质性条款，投标人不满足的，将按照无效投标处理。</w:t>
      </w:r>
    </w:p>
    <w:p>
      <w:pPr>
        <w:spacing w:line="276" w:lineRule="auto"/>
        <w:jc w:val="both"/>
        <w:rPr>
          <w:rFonts w:asciiTheme="minorEastAsia" w:hAnsiTheme="minorEastAsia"/>
          <w:bCs/>
          <w:sz w:val="24"/>
          <w:highlight w:val="none"/>
        </w:rPr>
      </w:pPr>
      <w:r>
        <w:rPr>
          <w:rFonts w:asciiTheme="minorEastAsia" w:hAnsiTheme="minorEastAsia"/>
          <w:b/>
          <w:bCs/>
          <w:sz w:val="24"/>
          <w:highlight w:val="none"/>
        </w:rPr>
        <w:t>*</w:t>
      </w:r>
      <w:r>
        <w:rPr>
          <w:rFonts w:asciiTheme="minorEastAsia" w:hAnsiTheme="minorEastAsia"/>
          <w:bCs/>
          <w:sz w:val="24"/>
          <w:highlight w:val="none"/>
        </w:rPr>
        <w:t>1．</w:t>
      </w:r>
      <w:r>
        <w:rPr>
          <w:rFonts w:hint="eastAsia" w:asciiTheme="minorEastAsia" w:hAnsiTheme="minorEastAsia"/>
          <w:bCs/>
          <w:sz w:val="24"/>
          <w:highlight w:val="none"/>
        </w:rPr>
        <w:t>服务期限</w:t>
      </w:r>
      <w:r>
        <w:rPr>
          <w:rFonts w:asciiTheme="minorEastAsia" w:hAnsiTheme="minorEastAsia"/>
          <w:bCs/>
          <w:sz w:val="24"/>
          <w:highlight w:val="none"/>
        </w:rPr>
        <w:t>及</w:t>
      </w:r>
      <w:r>
        <w:rPr>
          <w:rFonts w:hint="eastAsia" w:asciiTheme="minorEastAsia" w:hAnsiTheme="minorEastAsia"/>
          <w:bCs/>
          <w:sz w:val="24"/>
          <w:highlight w:val="none"/>
        </w:rPr>
        <w:t>服务</w:t>
      </w:r>
      <w:r>
        <w:rPr>
          <w:rFonts w:asciiTheme="minorEastAsia" w:hAnsiTheme="minorEastAsia"/>
          <w:bCs/>
          <w:sz w:val="24"/>
          <w:highlight w:val="none"/>
        </w:rPr>
        <w:t>地点</w:t>
      </w:r>
    </w:p>
    <w:p>
      <w:pPr>
        <w:spacing w:line="276" w:lineRule="auto"/>
        <w:jc w:val="both"/>
        <w:rPr>
          <w:rFonts w:asciiTheme="minorEastAsia" w:hAnsiTheme="minorEastAsia"/>
          <w:sz w:val="24"/>
          <w:highlight w:val="none"/>
        </w:rPr>
      </w:pPr>
      <w:r>
        <w:rPr>
          <w:rFonts w:asciiTheme="minorEastAsia" w:hAnsiTheme="minorEastAsia"/>
          <w:sz w:val="24"/>
          <w:highlight w:val="none"/>
        </w:rPr>
        <w:t xml:space="preserve">1.1 </w:t>
      </w:r>
      <w:r>
        <w:rPr>
          <w:rFonts w:hint="eastAsia" w:asciiTheme="minorEastAsia" w:hAnsiTheme="minorEastAsia"/>
          <w:sz w:val="24"/>
          <w:highlight w:val="none"/>
        </w:rPr>
        <w:t>服务期限：一年。</w:t>
      </w:r>
    </w:p>
    <w:p>
      <w:pPr>
        <w:spacing w:line="276" w:lineRule="auto"/>
        <w:jc w:val="both"/>
        <w:rPr>
          <w:rFonts w:asciiTheme="minorEastAsia" w:hAnsiTheme="minorEastAsia"/>
          <w:sz w:val="24"/>
          <w:highlight w:val="none"/>
        </w:rPr>
      </w:pPr>
      <w:r>
        <w:rPr>
          <w:rFonts w:asciiTheme="minorEastAsia" w:hAnsiTheme="minorEastAsia"/>
          <w:sz w:val="24"/>
          <w:highlight w:val="none"/>
        </w:rPr>
        <w:t xml:space="preserve">1.2 </w:t>
      </w:r>
      <w:r>
        <w:rPr>
          <w:rFonts w:hint="eastAsia" w:asciiTheme="minorEastAsia" w:hAnsiTheme="minorEastAsia"/>
          <w:sz w:val="24"/>
          <w:highlight w:val="none"/>
        </w:rPr>
        <w:t>服务地点</w:t>
      </w:r>
      <w:r>
        <w:rPr>
          <w:rFonts w:asciiTheme="minorEastAsia" w:hAnsiTheme="minorEastAsia"/>
          <w:sz w:val="24"/>
          <w:highlight w:val="none"/>
        </w:rPr>
        <w:t xml:space="preserve">: </w:t>
      </w:r>
      <w:r>
        <w:rPr>
          <w:rFonts w:hint="eastAsia" w:asciiTheme="minorEastAsia" w:hAnsiTheme="minorEastAsia"/>
          <w:sz w:val="24"/>
          <w:highlight w:val="none"/>
        </w:rPr>
        <w:t>四川省妇幼保健院。</w:t>
      </w:r>
    </w:p>
    <w:p>
      <w:pPr>
        <w:spacing w:line="276" w:lineRule="auto"/>
        <w:jc w:val="both"/>
        <w:rPr>
          <w:rFonts w:asciiTheme="minorEastAsia" w:hAnsiTheme="minorEastAsia"/>
          <w:bCs/>
          <w:sz w:val="24"/>
          <w:highlight w:val="none"/>
        </w:rPr>
      </w:pPr>
      <w:r>
        <w:rPr>
          <w:rFonts w:asciiTheme="minorEastAsia" w:hAnsiTheme="minorEastAsia"/>
          <w:b/>
          <w:bCs/>
          <w:sz w:val="24"/>
          <w:highlight w:val="none"/>
        </w:rPr>
        <w:t>*</w:t>
      </w:r>
      <w:r>
        <w:rPr>
          <w:rFonts w:asciiTheme="minorEastAsia" w:hAnsiTheme="minorEastAsia"/>
          <w:bCs/>
          <w:sz w:val="24"/>
          <w:highlight w:val="none"/>
        </w:rPr>
        <w:t>2．付款方法和条件：</w:t>
      </w:r>
      <w:r>
        <w:rPr>
          <w:rFonts w:hint="eastAsia" w:asciiTheme="minorEastAsia" w:hAnsiTheme="minorEastAsia"/>
          <w:bCs/>
          <w:sz w:val="24"/>
          <w:highlight w:val="none"/>
        </w:rPr>
        <w:t>中标人须向采购人出具合法有效完整的完税发票及凭证资料，</w:t>
      </w:r>
      <w:r>
        <w:rPr>
          <w:rFonts w:hint="eastAsia" w:asciiTheme="minorEastAsia" w:hAnsiTheme="minorEastAsia"/>
          <w:bCs/>
          <w:sz w:val="24"/>
          <w:highlight w:val="none"/>
          <w:lang w:eastAsia="zh-CN"/>
        </w:rPr>
        <w:t>签订合同正常服务一个月后，支付全部服务费用的</w:t>
      </w:r>
      <w:r>
        <w:rPr>
          <w:rFonts w:hint="eastAsia" w:asciiTheme="minorEastAsia" w:hAnsiTheme="minorEastAsia"/>
          <w:bCs/>
          <w:sz w:val="24"/>
          <w:highlight w:val="none"/>
          <w:lang w:val="en-US" w:eastAsia="zh-CN"/>
        </w:rPr>
        <w:t>20%，正常服务六个月后，再支付全部服务费用的30%，在服务合同规定服务十二个月后，支付全部服务费用剩余的50%，同时合同终止</w:t>
      </w:r>
      <w:r>
        <w:rPr>
          <w:rFonts w:hint="eastAsia" w:asciiTheme="minorEastAsia" w:hAnsiTheme="minorEastAsia"/>
          <w:bCs/>
          <w:sz w:val="24"/>
          <w:highlight w:val="none"/>
        </w:rPr>
        <w:t>。</w:t>
      </w:r>
    </w:p>
    <w:p>
      <w:pPr>
        <w:spacing w:line="440" w:lineRule="exact"/>
        <w:jc w:val="both"/>
        <w:outlineLvl w:val="0"/>
        <w:rPr>
          <w:rFonts w:hint="eastAsia" w:asciiTheme="minorEastAsia" w:hAnsiTheme="minorEastAsia" w:eastAsiaTheme="minorEastAsia"/>
          <w:bCs/>
          <w:sz w:val="24"/>
          <w:highlight w:val="none"/>
        </w:rPr>
      </w:pPr>
    </w:p>
    <w:p>
      <w:pPr>
        <w:pStyle w:val="2"/>
        <w:numPr>
          <w:ilvl w:val="4"/>
          <w:numId w:val="0"/>
        </w:numPr>
        <w:jc w:val="both"/>
        <w:rPr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（二）技术服务要求：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“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*”的条款为本项目的实质性条款，投标人不满足的，将按照无效投标处理。</w:t>
      </w:r>
    </w:p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1、服务人员：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供应商提供驻场服务人员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名，（项目主管1名，资深维修工程师1名），在不影响医院紧急维修工作的情况下，供应商可根据公司需要定期召回学习培训，提高服务能力；在召回前需要提出申请，经院方同意并安排相同服务能力人员完成工作交接后，方可进行召回培训；人员到院后严格按照我院的规章制度，按时上下班、值班、着装等要求执行。</w:t>
      </w:r>
    </w:p>
    <w:p>
      <w:pPr>
        <w:pStyle w:val="6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驻场人员需至少具有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本科学历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，有医疗机构设备驻场维修相关经历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。（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提供有效的学历证明及工作经历承诺函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13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val="en-US" w:eastAsia="zh-CN"/>
        </w:rPr>
        <w:t>3、具有参加原厂培训相关证明材料（含：证书，剪影，等证明材料）</w:t>
      </w:r>
    </w:p>
    <w:p>
      <w:pPr>
        <w:pStyle w:val="13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、维修保养内容：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仅包含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提供人工技术服务，设备的机身备件更换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为节约维修成本，供应商应具备主板级维修能力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（提供承诺函）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，并提供相关维修设备证明（如BGA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（芯片焊接</w:t>
      </w:r>
      <w:bookmarkStart w:id="1" w:name="_GoBack"/>
      <w:bookmarkEnd w:id="1"/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设备等购置发票）；</w:t>
      </w:r>
    </w:p>
    <w:p>
      <w:pPr>
        <w:pStyle w:val="13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预防性保养：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服务期内，对本项目服务设备提供专业的预防性定期维护保养及定期巡检，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以保证设备处于最佳运行状态；</w:t>
      </w:r>
    </w:p>
    <w:p>
      <w:pPr>
        <w:pStyle w:val="13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、提供年度维护保养、巡检服务计划：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按照风险等级评估，对本项目服务设备进行全年的预防性保养规划服务及巡检服务，其中明确服务时间，服务内容，服务人员组成。（预防性定期维护保养服务一年不少于4次，定期巡检服务一年不少2次）；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、提供清晰的维护保养服务流程：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制定相应的工作制度，工作计划（包含相应的服务标准）；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、提供相关维护保养报告：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每类设备提供单独的维护保养报告，维护保养项目明晰；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、提供巡检报告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：制定巡检制度，提供巡检报告，含巡检反馈跟踪表；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供应商提供医疗设备管理系统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及报修系统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不单独收取费用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、设备故障响应时间：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接到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科室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故障通知时，10分钟内电话响应，工程师应在0.5小时内到达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现场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维修；如设备不涉及零配件更换，应在1日内维护完毕；如涉及到零配件更换，应在3日内完成；若3日内不能完成维修，必须提供备用机供科室使用；</w:t>
      </w:r>
    </w:p>
    <w:p>
      <w:pPr>
        <w:spacing w:line="360" w:lineRule="auto"/>
        <w:ind w:firstLine="480"/>
        <w:jc w:val="both"/>
        <w:rPr>
          <w:rStyle w:val="15"/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开机率：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在合同期内保证95%的开机率（停机时间少于5%），</w:t>
      </w:r>
      <w:r>
        <w:rPr>
          <w:rStyle w:val="15"/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</w:rPr>
        <w:t>按1年365天计算，超过1天延长2天保修。（人力不可抗拒的因素除外）；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标准：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保证设备维护达到符合厂家标准及相应的国家质量标准要求；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、培训：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开展设备使用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定期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操作培训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及考核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，年度医学装备管理培训，汇报年度设备管理成果；</w:t>
      </w:r>
    </w:p>
    <w:p>
      <w:p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、文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档管理：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供应商编制医疗设备的维护保养执行计划。确定维护保养的具体内容、周期并制定相应计划与流程，根据计划实施维护保养并做好相应记录。每年提供年度维保售后服务报告书交医学装备部和使用科室存档。</w:t>
      </w:r>
    </w:p>
    <w:p>
      <w:pPr>
        <w:pStyle w:val="6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pStyle w:val="13"/>
        <w:ind w:firstLine="0"/>
        <w:jc w:val="both"/>
        <w:outlineLvl w:val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u w:color="000000"/>
        </w:rPr>
        <w:t>二、公司服务能力要求</w:t>
      </w:r>
    </w:p>
    <w:p>
      <w:pPr>
        <w:pStyle w:val="13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具有医疗器械放射类设备维修保养安装企业能力等级证书相关证明；</w:t>
      </w:r>
    </w:p>
    <w:p>
      <w:pPr>
        <w:pStyle w:val="13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供应商具有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ISO9001</w:t>
      </w:r>
      <w:r>
        <w:rPr>
          <w:rFonts w:hint="eastAsia" w:asciiTheme="minorEastAsia" w:hAnsiTheme="minorEastAsia" w:eastAsiaTheme="minorEastAsia" w:cstheme="minorEastAsia"/>
          <w:spacing w:val="-20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ISO13485</w:t>
      </w:r>
      <w:r>
        <w:rPr>
          <w:rFonts w:hint="eastAsia" w:asciiTheme="minorEastAsia" w:hAnsiTheme="minorEastAsia" w:eastAsiaTheme="minorEastAsia" w:cstheme="minorEastAsia"/>
          <w:spacing w:val="-17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ISO27001</w:t>
      </w:r>
      <w:r>
        <w:rPr>
          <w:rFonts w:hint="eastAsia" w:asciiTheme="minorEastAsia" w:hAnsiTheme="minorEastAsia" w:eastAsiaTheme="minorEastAsia" w:cstheme="minorEastAsia"/>
          <w:spacing w:val="-20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OHSAS18001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ISO45001:2018、GB/T24001等管理体系</w:t>
      </w:r>
      <w:r>
        <w:rPr>
          <w:rFonts w:hint="eastAsia" w:asciiTheme="minorEastAsia" w:hAnsiTheme="minorEastAsia" w:eastAsiaTheme="minorEastAsia" w:cstheme="minorEastAsia"/>
          <w:spacing w:val="-27"/>
          <w:sz w:val="24"/>
          <w:szCs w:val="24"/>
          <w:highlight w:val="none"/>
        </w:rPr>
        <w:t>认证</w:t>
      </w:r>
      <w:r>
        <w:rPr>
          <w:rFonts w:hint="eastAsia" w:asciiTheme="minorEastAsia" w:hAnsiTheme="minorEastAsia" w:eastAsiaTheme="minorEastAsia" w:cstheme="minorEastAsia"/>
          <w:spacing w:val="-27"/>
          <w:sz w:val="24"/>
          <w:szCs w:val="24"/>
          <w:highlight w:val="none"/>
          <w:lang w:val="en-US" w:eastAsia="zh-CN"/>
        </w:rPr>
        <w:t>证书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highlight w:val="none"/>
        </w:rPr>
        <w:t>提供证书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复印件）。</w:t>
      </w:r>
    </w:p>
    <w:p>
      <w:pPr>
        <w:pStyle w:val="13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具有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省内三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医院整体或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多品牌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设备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外包服务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合同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（单台设备维修合同不得计入）</w:t>
      </w:r>
    </w:p>
    <w:p>
      <w:pPr>
        <w:pStyle w:val="13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.备用机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提供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正常运行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备用机清单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（设备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种类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型号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数量、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使用年限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。根据服务商提供设备清单进行评分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。</w:t>
      </w:r>
    </w:p>
    <w:p>
      <w:pPr>
        <w:pStyle w:val="13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.供应商具有医疗设备维修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配件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供应能力。（提供相关供应授权资料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）</w:t>
      </w:r>
    </w:p>
    <w:p>
      <w:pPr>
        <w:pStyle w:val="13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24"/>
          <w:szCs w:val="24"/>
          <w:highlight w:val="none"/>
        </w:rPr>
        <w:t>附件2：综合评分明细表</w:t>
      </w:r>
    </w:p>
    <w:tbl>
      <w:tblPr>
        <w:tblStyle w:val="11"/>
        <w:tblW w:w="9641" w:type="dxa"/>
        <w:jc w:val="center"/>
        <w:tblInd w:w="1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15"/>
        <w:gridCol w:w="908"/>
        <w:gridCol w:w="5004"/>
        <w:gridCol w:w="16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11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60" w:lineRule="auto"/>
              <w:ind w:left="-2" w:leftChars="-1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15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60" w:lineRule="auto"/>
              <w:ind w:left="-2" w:leftChars="-1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评分因素及权重</w:t>
            </w:r>
          </w:p>
        </w:tc>
        <w:tc>
          <w:tcPr>
            <w:tcW w:w="908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60" w:lineRule="auto"/>
              <w:ind w:left="-2" w:leftChars="-1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5004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60" w:lineRule="auto"/>
              <w:ind w:left="-2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1603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60" w:lineRule="auto"/>
              <w:ind w:left="-2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报价1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%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5004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以满足招标文件要求且价格最低的报价为评审基准价，其价格分为满分。其它供应商的价格分，统一按照下列公式计算：报价得分=(评标基准价／报价金额)×分值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1603" w:type="dxa"/>
            <w:vAlign w:val="center"/>
          </w:tcPr>
          <w:p>
            <w:pPr>
              <w:spacing w:after="0" w:line="360" w:lineRule="auto"/>
              <w:ind w:leftChars="-1" w:hanging="2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最高限价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20万元，超过最高限价为无效报价。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技术服务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分</w:t>
            </w:r>
          </w:p>
        </w:tc>
        <w:tc>
          <w:tcPr>
            <w:tcW w:w="5004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按附件1第（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）条技术服务要求进行打分，普通条款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号条款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对应技术服务要求，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技术条款（未标注“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”的条款）不满足的扣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分，共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项，“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”技术条款不满足扣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分，共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03" w:type="dxa"/>
            <w:vAlign w:val="center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服务方案（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%）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分</w:t>
            </w:r>
          </w:p>
        </w:tc>
        <w:tc>
          <w:tcPr>
            <w:tcW w:w="500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针对本项目提供详细的技术服务方案，方案包括：</w:t>
            </w:r>
          </w:p>
          <w:p>
            <w:pPr>
              <w:widowControl/>
              <w:numPr>
                <w:ilvl w:val="0"/>
                <w:numId w:val="2"/>
              </w:numPr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服务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配置及管理制度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（优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得3分，良得2分，中得1分，较差不得分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医疗信息化管理系统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优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得4分，良得2分，中得1分）</w:t>
            </w:r>
          </w:p>
          <w:p>
            <w:pPr>
              <w:widowControl/>
              <w:ind w:left="240" w:hanging="240" w:hanging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维保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档案管理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（优得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，良得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分，中得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分，较差不得分）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应急保障措施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（优得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，良得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分，中得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分，较差不得分）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提供年度维护保养、巡检服务计划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优得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，良得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分，中得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分，较差不得分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  <w:t>维护保养服务流程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优得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，良得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分，中得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分，较差不得分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603" w:type="dxa"/>
            <w:vAlign w:val="center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维保服务能力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 w:bidi="ar"/>
              </w:rPr>
              <w:t>及业绩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%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5004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供应商提供的与本项目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维修保养所需的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专用工具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BGA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设备得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分，提供关证明材料及照片。不提供不得分。</w:t>
            </w:r>
          </w:p>
          <w:p>
            <w:pPr>
              <w:widowControl/>
              <w:numPr>
                <w:ilvl w:val="0"/>
                <w:numId w:val="3"/>
              </w:numPr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中国设备管理协会颁发的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医疗器械维修安装企业能力等级证书。（提供有效期内的相关证书得4分，未提供不得分）。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 xml:space="preserve">                                                                                                                      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供应商获得 ISO9001、ISO13485、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ISO27001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OHSAS18001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ISO 45001:2018、GB/T24001等管理体系认证证书（以上证书，需包含医疗器械维修、保养），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提供有效期内的相关证书，每提供一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个证书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2分，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未提供不得分，本项目最高为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8分。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投标人提供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自201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年以来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 w:bidi="ar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内三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医院整体或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多品牌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外包服务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合同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类似服务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业绩：每提供一个类似服务业绩的得2分，最多得8分。注：类似服务业绩是指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bidi="ar"/>
              </w:rPr>
              <w:t>多品牌设备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维保或维修业绩。                                                                    提供证明材料需注明与“原件一致”并加盖公章，否则不得分。</w:t>
            </w:r>
          </w:p>
        </w:tc>
        <w:tc>
          <w:tcPr>
            <w:tcW w:w="1603" w:type="dxa"/>
            <w:vAlign w:val="center"/>
          </w:tcPr>
          <w:p>
            <w:pPr>
              <w:spacing w:after="0" w:line="360" w:lineRule="auto"/>
              <w:ind w:leftChars="-1" w:hanging="2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bidi="ar"/>
              </w:rPr>
              <w:t>提供中标（成交）通知书复印件或合同复印件及联系方式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b/>
          <w:color w:val="333333"/>
          <w:kern w:val="0"/>
          <w:sz w:val="30"/>
          <w:szCs w:val="30"/>
          <w:highlight w:val="none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highlight w:val="none"/>
        </w:rPr>
        <w:t>附件3：采购文件书装订顺序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spacing w:val="8"/>
          <w:kern w:val="0"/>
          <w:sz w:val="24"/>
          <w:szCs w:val="24"/>
          <w:highlight w:val="none"/>
        </w:rPr>
        <w:t>1．封面（公司、项目、联系人、联系方式）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spacing w:val="8"/>
          <w:kern w:val="0"/>
          <w:sz w:val="24"/>
          <w:szCs w:val="24"/>
          <w:highlight w:val="none"/>
        </w:rPr>
        <w:t>2．目录（标记页码）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spacing w:val="8"/>
          <w:kern w:val="0"/>
          <w:sz w:val="24"/>
          <w:szCs w:val="24"/>
          <w:highlight w:val="none"/>
        </w:rPr>
        <w:t>3．品目及报价表（格式见附件4）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spacing w:val="8"/>
          <w:kern w:val="0"/>
          <w:sz w:val="24"/>
          <w:szCs w:val="24"/>
          <w:highlight w:val="none"/>
        </w:rPr>
        <w:t>4．偏离表（格式见附件4）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spacing w:val="8"/>
          <w:kern w:val="0"/>
          <w:sz w:val="24"/>
          <w:szCs w:val="24"/>
          <w:highlight w:val="none"/>
        </w:rPr>
        <w:t>5．营业执照（复印件）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6．法定代表人授权书（原件，格式见附件4）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7．相关资质证明材料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8．业绩证明材料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9．</w:t>
      </w:r>
      <w:r>
        <w:rPr>
          <w:rFonts w:hint="eastAsia" w:cs="Segoe UI" w:asciiTheme="minorEastAsia" w:hAnsiTheme="minorEastAsia"/>
          <w:color w:val="333333"/>
          <w:spacing w:val="8"/>
          <w:kern w:val="0"/>
          <w:sz w:val="24"/>
          <w:szCs w:val="24"/>
          <w:highlight w:val="none"/>
        </w:rPr>
        <w:t>封底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24"/>
          <w:szCs w:val="24"/>
          <w:highlight w:val="none"/>
        </w:rPr>
        <w:t>注：请务必按以上顺序封胶装订资料，如有非中文资料，请同时提供中文翻译件。</w:t>
      </w:r>
    </w:p>
    <w:p>
      <w:pPr>
        <w:widowControl/>
        <w:shd w:val="clear" w:color="auto" w:fill="FFFFFF"/>
        <w:wordWrap w:val="0"/>
        <w:spacing w:line="360" w:lineRule="auto"/>
        <w:ind w:firstLine="2108" w:firstLineChars="700"/>
        <w:jc w:val="both"/>
        <w:rPr>
          <w:rFonts w:cs="Segoe UI" w:asciiTheme="minorEastAsia" w:hAnsiTheme="minorEastAsia"/>
          <w:color w:val="333333"/>
          <w:kern w:val="0"/>
          <w:sz w:val="30"/>
          <w:szCs w:val="30"/>
          <w:highlight w:val="none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  <w:highlight w:val="none"/>
        </w:rPr>
        <w:t>商务要求、技术要求偏离表</w:t>
      </w:r>
    </w:p>
    <w:tbl>
      <w:tblPr>
        <w:tblStyle w:val="11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2299"/>
        <w:gridCol w:w="2299"/>
        <w:gridCol w:w="28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招标要求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投标响应</w:t>
            </w:r>
          </w:p>
        </w:tc>
        <w:tc>
          <w:tcPr>
            <w:tcW w:w="2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偏离及其影响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注：投标文件中与招标文件要求有负偏离的内容必须在此表中列出，否则视为无效投标。供应商必须据实填写，不得虚假响应，否则投标无效并按规定追究其相关责任。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法定代表人或授权代表签字：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日期: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wordWrap w:val="0"/>
        <w:spacing w:line="360" w:lineRule="auto"/>
        <w:ind w:firstLine="2409" w:firstLineChars="800"/>
        <w:jc w:val="both"/>
        <w:rPr>
          <w:rFonts w:cs="Segoe UI" w:asciiTheme="minorEastAsia" w:hAnsiTheme="minorEastAsia"/>
          <w:color w:val="333333"/>
          <w:kern w:val="0"/>
          <w:sz w:val="30"/>
          <w:szCs w:val="30"/>
          <w:highlight w:val="none"/>
        </w:rPr>
      </w:pPr>
      <w:bookmarkStart w:id="0" w:name="_Toc95295163"/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  <w:highlight w:val="none"/>
        </w:rPr>
        <w:t>法定代表人身份授权书</w:t>
      </w:r>
      <w:bookmarkEnd w:id="0"/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四川省妇幼保健院：</w:t>
      </w:r>
    </w:p>
    <w:p>
      <w:pPr>
        <w:widowControl/>
        <w:shd w:val="clear" w:color="auto" w:fill="FFFFFF"/>
        <w:wordWrap w:val="0"/>
        <w:spacing w:line="360" w:lineRule="auto"/>
        <w:ind w:firstLine="573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（投标人名称）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  <w:u w:val="single"/>
        </w:rPr>
        <w:t>（法定代表人姓名、职务）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授权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  <w:u w:val="single"/>
        </w:rPr>
        <w:t>（被授权人姓名、职务）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为我方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  <w:u w:val="single"/>
        </w:rPr>
        <w:t>“ ”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项目投标活动的合法代表，以我方名义全权处理该项目有关投标、签订合同以及执行合同等一切事宜。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特此声明。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投标人单位名称：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法定代表人签字：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授权代表签字：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日期：</w:t>
      </w:r>
    </w:p>
    <w:p>
      <w:pPr>
        <w:widowControl/>
        <w:shd w:val="clear" w:color="auto" w:fill="FFFFFF"/>
        <w:wordWrap w:val="0"/>
        <w:spacing w:line="360" w:lineRule="auto"/>
        <w:ind w:firstLine="12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★说明：上述证明文件附有法定代表人、被授权代表身份证复印件（盖章）时才能生效。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  </w:t>
      </w:r>
    </w:p>
    <w:p>
      <w:pPr>
        <w:widowControl/>
        <w:shd w:val="clear" w:color="auto" w:fill="FFFFFF"/>
        <w:wordWrap w:val="0"/>
        <w:spacing w:line="360" w:lineRule="auto"/>
        <w:jc w:val="center"/>
        <w:rPr>
          <w:rFonts w:cs="Segoe UI" w:asciiTheme="minorEastAsia" w:hAnsiTheme="minorEastAsia"/>
          <w:color w:val="333333"/>
          <w:kern w:val="0"/>
          <w:sz w:val="30"/>
          <w:szCs w:val="30"/>
          <w:highlight w:val="none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  <w:highlight w:val="none"/>
        </w:rPr>
        <w:t>用户情况表</w:t>
      </w:r>
    </w:p>
    <w:tbl>
      <w:tblPr>
        <w:tblStyle w:val="11"/>
        <w:tblW w:w="8360" w:type="dxa"/>
        <w:jc w:val="center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3174"/>
        <w:gridCol w:w="1417"/>
        <w:gridCol w:w="1559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省内医疗机构</w:t>
            </w: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用户名称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服务期限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联系人及联系方式</w:t>
            </w: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cs="宋体" w:asciiTheme="minorEastAsia" w:hAnsiTheme="minorEastAsia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法定代表人或授权代表签字：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日期</w:t>
      </w:r>
      <w:r>
        <w:rPr>
          <w:rFonts w:hint="eastAsia" w:cs="Segoe UI" w:asciiTheme="minorEastAsia" w:hAnsiTheme="minorEastAsia"/>
          <w:b/>
          <w:bCs/>
          <w:color w:val="333333"/>
          <w:kern w:val="0"/>
          <w:sz w:val="24"/>
          <w:szCs w:val="24"/>
          <w:highlight w:val="none"/>
        </w:rPr>
        <w:t>: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wordWrap w:val="0"/>
        <w:spacing w:line="360" w:lineRule="auto"/>
        <w:jc w:val="both"/>
        <w:rPr>
          <w:rFonts w:cs="Segoe UI" w:asciiTheme="minorEastAsia" w:hAnsiTheme="minorEastAsia"/>
          <w:b/>
          <w:color w:val="333333"/>
          <w:kern w:val="0"/>
          <w:sz w:val="30"/>
          <w:szCs w:val="30"/>
          <w:highlight w:val="none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highlight w:val="none"/>
        </w:rPr>
        <w:t>附件5：</w:t>
      </w:r>
    </w:p>
    <w:p>
      <w:pPr>
        <w:widowControl/>
        <w:shd w:val="clear" w:color="auto" w:fill="FFFFFF"/>
        <w:wordWrap w:val="0"/>
        <w:spacing w:line="360" w:lineRule="auto"/>
        <w:jc w:val="center"/>
        <w:rPr>
          <w:rFonts w:cs="Segoe UI" w:asciiTheme="minorEastAsia" w:hAnsiTheme="minorEastAsia"/>
          <w:b/>
          <w:color w:val="333333"/>
          <w:kern w:val="0"/>
          <w:sz w:val="30"/>
          <w:szCs w:val="30"/>
          <w:highlight w:val="none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highlight w:val="none"/>
        </w:rPr>
        <w:t>《四川省妇幼保健院反商业贿赂承诺书》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1．不与其他投标人相互串通投标报价，损害贵院的合法权益；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2．不与招标人串通投标，损害国家利益、社会公共利益或他人的合法权益；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3．不以向招标人或者评标委员会成员行贿的手段谋取中标；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4．竞标报价不违反相关法律的规定，也不以他人名义投标或者以其他方式弄虚作假，骗取中标；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5．保证不以其他任何方式扰乱贵院的招标工作；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6．保证不在药品销售、医疗器械、设备、物资、基建工程竞标中采取账外暗中给予回扣的手段腐蚀、贿赂医护、药剂人员、干部等其他相关人员；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7．保证不以任何名义包括以宣传费、临床促销费、开单费、处方费、广告费、免费度假、考察旅游、房屋装修等任何名义给予贵院采购人员、药剂人员、医护人员、干部等有关人员以财物或者其他利益；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8．保证不让贵院临床科室、药剂部门以及有关人员登记、统计医生处方或为此提供方便，干扰贵院的正常工作秩序；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9．保证不以其他任何不正当竞争手段推销药品、医疗器械、设备、物资。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三、本厂家、商家、公司保证竭力维护贵院的声誉，不做任何有损贵院形象的事情。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1．对尚处在竞标阶段的，贵院有权取消本厂家、商家、公司的竞标资格；已经中标的，贵院有权取消中标；对已经获得准入资格的，贵院有权随时取消本厂家、商家、公司的准入资格；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2．对本厂家、商家、公司相关工作人员作出严肃处理；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3．对由于本厂家、商家、公司或本厂家、商家、公司工作人员的上述行为给贵院造成经济或名誉损失的，由本厂家、商家、公司负责，并愿意承担全部民事赔偿责任。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hint="eastAsia" w:cs="Segoe UI" w:asciiTheme="minorEastAsia" w:hAnsiTheme="minorEastAsia" w:eastAsiaTheme="minorEastAsia"/>
          <w:color w:val="333333"/>
          <w:kern w:val="0"/>
          <w:sz w:val="18"/>
          <w:szCs w:val="18"/>
          <w:highlight w:val="none"/>
          <w:lang w:eastAsia="zh-CN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六、项目名称：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  <w:lang w:eastAsia="zh-CN"/>
        </w:rPr>
        <w:t>医学装备维修服务采购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本《承诺书》一式二份（一份由承诺人自存；一份随竞价书传递）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both"/>
        <w:rPr>
          <w:rFonts w:cs="Segoe U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承诺企业名称（盖章）：</w:t>
      </w:r>
    </w:p>
    <w:p>
      <w:pPr>
        <w:widowControl/>
        <w:shd w:val="clear" w:color="auto" w:fill="FFFFFF"/>
        <w:wordWrap w:val="0"/>
        <w:spacing w:line="360" w:lineRule="auto"/>
        <w:ind w:firstLine="120"/>
        <w:jc w:val="both"/>
        <w:rPr>
          <w:rFonts w:cs="Segoe UI" w:asciiTheme="minorEastAsia" w:hAnsiTheme="minorEastAsia"/>
          <w:color w:val="333333"/>
          <w:kern w:val="0"/>
          <w:sz w:val="18"/>
          <w:szCs w:val="18"/>
          <w:highlight w:val="none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highlight w:val="none"/>
        </w:rPr>
        <w:t>法人代表或委托代理人（承诺人）：</w:t>
      </w:r>
    </w:p>
    <w:p>
      <w:pPr>
        <w:pStyle w:val="13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2CCAD4"/>
    <w:multiLevelType w:val="singleLevel"/>
    <w:tmpl w:val="CF2CCAD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2">
    <w:nsid w:val="3F40855E"/>
    <w:multiLevelType w:val="singleLevel"/>
    <w:tmpl w:val="3F4085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2E"/>
    <w:rsid w:val="00785B69"/>
    <w:rsid w:val="00A2302E"/>
    <w:rsid w:val="00A60F80"/>
    <w:rsid w:val="00C502F1"/>
    <w:rsid w:val="00F67EAA"/>
    <w:rsid w:val="01BC4A84"/>
    <w:rsid w:val="035B7DB0"/>
    <w:rsid w:val="06DB0B8D"/>
    <w:rsid w:val="084F525A"/>
    <w:rsid w:val="0B062BA7"/>
    <w:rsid w:val="0CDF2B4A"/>
    <w:rsid w:val="0F11543B"/>
    <w:rsid w:val="12356973"/>
    <w:rsid w:val="148D5E48"/>
    <w:rsid w:val="18D80418"/>
    <w:rsid w:val="1DA2155D"/>
    <w:rsid w:val="23630212"/>
    <w:rsid w:val="2AF2144E"/>
    <w:rsid w:val="2D6B5023"/>
    <w:rsid w:val="2F0C0B17"/>
    <w:rsid w:val="35D33270"/>
    <w:rsid w:val="37A32862"/>
    <w:rsid w:val="39FA2539"/>
    <w:rsid w:val="3AC45ABB"/>
    <w:rsid w:val="3B500B5B"/>
    <w:rsid w:val="3CFD65C5"/>
    <w:rsid w:val="40D734E2"/>
    <w:rsid w:val="44300988"/>
    <w:rsid w:val="4C041F1C"/>
    <w:rsid w:val="4F8C4161"/>
    <w:rsid w:val="50CD6A30"/>
    <w:rsid w:val="52F30581"/>
    <w:rsid w:val="57BC543D"/>
    <w:rsid w:val="57F52FE1"/>
    <w:rsid w:val="58785CD8"/>
    <w:rsid w:val="592C2F2E"/>
    <w:rsid w:val="5A1F4145"/>
    <w:rsid w:val="5BC23BC0"/>
    <w:rsid w:val="5E0632A9"/>
    <w:rsid w:val="5FA057FF"/>
    <w:rsid w:val="5FF0526D"/>
    <w:rsid w:val="62031A83"/>
    <w:rsid w:val="77D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6">
    <w:name w:val="Body Text"/>
    <w:basedOn w:val="1"/>
    <w:next w:val="1"/>
    <w:qFormat/>
    <w:uiPriority w:val="1"/>
  </w:style>
  <w:style w:type="paragraph" w:styleId="7">
    <w:name w:val="Body Text Indent"/>
    <w:basedOn w:val="1"/>
    <w:qFormat/>
    <w:uiPriority w:val="99"/>
    <w:pPr>
      <w:ind w:firstLine="630"/>
    </w:pPr>
    <w:rPr>
      <w:sz w:val="32"/>
      <w:szCs w:val="20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正文首行缩进两字符"/>
    <w:basedOn w:val="1"/>
    <w:qFormat/>
    <w:uiPriority w:val="0"/>
    <w:pPr>
      <w:ind w:firstLine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5">
    <w:name w:val="15"/>
    <w:basedOn w:val="10"/>
    <w:qFormat/>
    <w:uiPriority w:val="0"/>
    <w:rPr>
      <w:rFonts w:hint="eastAsia" w:ascii="宋体" w:hAnsi="宋体" w:eastAsia="宋体"/>
      <w:color w:val="000000"/>
      <w:sz w:val="21"/>
      <w:szCs w:val="21"/>
      <w:u w:val="single"/>
    </w:rPr>
  </w:style>
  <w:style w:type="character" w:customStyle="1" w:styleId="16">
    <w:name w:val="页眉 Char"/>
    <w:basedOn w:val="10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8">
    <w:name w:val="font4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202</Words>
  <Characters>1158</Characters>
  <Lines>9</Lines>
  <Paragraphs>2</Paragraphs>
  <TotalTime>6</TotalTime>
  <ScaleCrop>false</ScaleCrop>
  <LinksUpToDate>false</LinksUpToDate>
  <CharactersWithSpaces>1358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2021-09-10T03:57:00Z</dcterms:created>
  <dc:creator>MY.Notebook</dc:creator>
  <cp:lastModifiedBy>sbk</cp:lastModifiedBy>
  <dcterms:modified xsi:type="dcterms:W3CDTF">2021-10-14T07:57:34Z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