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outlineLvl w:val="0"/>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outlineLvl w:val="1"/>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1.</w:t>
      </w:r>
      <w:r>
        <w:rPr>
          <w:rFonts w:hint="eastAsia" w:ascii="仿宋_GB2312" w:hAnsi="Segoe UI" w:eastAsia="仿宋_GB2312" w:cs="Segoe UI"/>
          <w:b/>
          <w:bCs/>
          <w:color w:val="333333"/>
          <w:spacing w:val="8"/>
          <w:kern w:val="0"/>
          <w:sz w:val="24"/>
          <w:szCs w:val="24"/>
        </w:rPr>
        <w:t>产品名称</w:t>
      </w:r>
      <w:r>
        <w:rPr>
          <w:rFonts w:hint="eastAsia" w:ascii="仿宋_GB2312" w:hAnsi="Segoe UI" w:eastAsia="仿宋_GB2312" w:cs="Segoe UI"/>
          <w:color w:val="333333"/>
          <w:spacing w:val="8"/>
          <w:kern w:val="0"/>
          <w:sz w:val="24"/>
          <w:szCs w:val="24"/>
        </w:rPr>
        <w:t>：四川省妇幼保健院网站系统升级及安全加固服务</w:t>
      </w:r>
    </w:p>
    <w:p>
      <w:pPr>
        <w:widowControl/>
        <w:shd w:val="clear" w:color="auto" w:fill="FFFFFF"/>
        <w:wordWrap w:val="0"/>
        <w:spacing w:line="280" w:lineRule="exact"/>
        <w:jc w:val="left"/>
        <w:outlineLvl w:val="1"/>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2.</w:t>
      </w:r>
      <w:r>
        <w:rPr>
          <w:rFonts w:hint="eastAsia" w:ascii="仿宋_GB2312" w:hAnsi="Segoe UI" w:eastAsia="仿宋_GB2312" w:cs="Segoe UI"/>
          <w:b/>
          <w:bCs/>
          <w:color w:val="333333"/>
          <w:spacing w:val="8"/>
          <w:kern w:val="0"/>
          <w:sz w:val="24"/>
          <w:szCs w:val="24"/>
        </w:rPr>
        <w:t>数量</w:t>
      </w:r>
      <w:r>
        <w:rPr>
          <w:rFonts w:hint="eastAsia" w:ascii="仿宋_GB2312" w:hAnsi="Segoe UI" w:eastAsia="仿宋_GB2312" w:cs="Segoe UI"/>
          <w:color w:val="333333"/>
          <w:spacing w:val="8"/>
          <w:kern w:val="0"/>
          <w:sz w:val="24"/>
          <w:szCs w:val="24"/>
        </w:rPr>
        <w:t>：1套/年;</w:t>
      </w:r>
    </w:p>
    <w:p>
      <w:pPr>
        <w:widowControl/>
        <w:shd w:val="clear" w:color="auto" w:fill="FFFFFF"/>
        <w:wordWrap w:val="0"/>
        <w:spacing w:line="280" w:lineRule="exact"/>
        <w:jc w:val="left"/>
        <w:outlineLvl w:val="1"/>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3.</w:t>
      </w:r>
      <w:r>
        <w:rPr>
          <w:rFonts w:hint="eastAsia" w:ascii="仿宋_GB2312" w:hAnsi="Segoe UI" w:eastAsia="仿宋_GB2312" w:cs="Segoe UI"/>
          <w:b/>
          <w:bCs/>
          <w:color w:val="333333"/>
          <w:spacing w:val="8"/>
          <w:kern w:val="0"/>
          <w:sz w:val="24"/>
          <w:szCs w:val="24"/>
        </w:rPr>
        <w:t>技术参数要求</w:t>
      </w:r>
      <w:r>
        <w:rPr>
          <w:rFonts w:hint="eastAsia" w:ascii="仿宋_GB2312" w:hAnsi="Segoe UI" w:eastAsia="仿宋_GB2312" w:cs="Segoe UI"/>
          <w:color w:val="333333"/>
          <w:spacing w:val="8"/>
          <w:kern w:val="0"/>
          <w:sz w:val="24"/>
          <w:szCs w:val="24"/>
        </w:rPr>
        <w:t>：</w:t>
      </w:r>
    </w:p>
    <w:tbl>
      <w:tblPr>
        <w:tblStyle w:val="8"/>
        <w:tblW w:w="9640"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1"/>
        <w:gridCol w:w="1274"/>
        <w:gridCol w:w="175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521" w:type="dxa"/>
            <w:vAlign w:val="center"/>
          </w:tcPr>
          <w:p>
            <w:pPr>
              <w:autoSpaceDE w:val="0"/>
              <w:autoSpaceDN w:val="0"/>
              <w:rPr>
                <w:rFonts w:ascii="仿宋" w:hAnsi="仿宋" w:eastAsia="仿宋"/>
                <w:b/>
                <w:sz w:val="24"/>
                <w:szCs w:val="24"/>
              </w:rPr>
            </w:pPr>
            <w:r>
              <w:rPr>
                <w:rFonts w:hint="eastAsia" w:ascii="仿宋" w:hAnsi="仿宋" w:eastAsia="仿宋"/>
                <w:b/>
                <w:sz w:val="24"/>
                <w:szCs w:val="24"/>
              </w:rPr>
              <w:t>序号</w:t>
            </w:r>
          </w:p>
        </w:tc>
        <w:tc>
          <w:tcPr>
            <w:tcW w:w="1274" w:type="dxa"/>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750" w:type="dxa"/>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年度预计用量</w:t>
            </w:r>
          </w:p>
        </w:tc>
        <w:tc>
          <w:tcPr>
            <w:tcW w:w="6095" w:type="dxa"/>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521" w:type="dxa"/>
            <w:vAlign w:val="center"/>
          </w:tcPr>
          <w:p>
            <w:pPr>
              <w:pStyle w:val="14"/>
              <w:numPr>
                <w:ilvl w:val="0"/>
                <w:numId w:val="1"/>
              </w:numPr>
              <w:autoSpaceDE w:val="0"/>
              <w:autoSpaceDN w:val="0"/>
              <w:ind w:firstLineChars="0"/>
              <w:jc w:val="center"/>
              <w:rPr>
                <w:rFonts w:ascii="仿宋" w:hAnsi="仿宋" w:eastAsia="仿宋"/>
                <w:b/>
                <w:sz w:val="24"/>
                <w:szCs w:val="24"/>
              </w:rPr>
            </w:pPr>
          </w:p>
        </w:tc>
        <w:tc>
          <w:tcPr>
            <w:tcW w:w="1274" w:type="dxa"/>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服务要求</w:t>
            </w:r>
          </w:p>
        </w:tc>
        <w:tc>
          <w:tcPr>
            <w:tcW w:w="1750" w:type="dxa"/>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w:t>
            </w:r>
          </w:p>
        </w:tc>
        <w:tc>
          <w:tcPr>
            <w:tcW w:w="6095" w:type="dxa"/>
            <w:shd w:val="clear" w:color="auto" w:fill="auto"/>
            <w:tcMar>
              <w:top w:w="0" w:type="dxa"/>
              <w:left w:w="108" w:type="dxa"/>
              <w:bottom w:w="0" w:type="dxa"/>
              <w:right w:w="108" w:type="dxa"/>
            </w:tcMar>
            <w:vAlign w:val="center"/>
          </w:tcPr>
          <w:p>
            <w:pPr>
              <w:widowControl/>
              <w:shd w:val="clear" w:color="auto" w:fill="FFFFFF"/>
              <w:wordWrap w:val="0"/>
              <w:jc w:val="left"/>
              <w:rPr>
                <w:rFonts w:hint="eastAsia" w:ascii="仿宋" w:hAnsi="仿宋" w:eastAsia="仿宋" w:cs="仿宋"/>
                <w:b/>
                <w:bCs/>
                <w:color w:val="000000"/>
                <w:kern w:val="0"/>
                <w:sz w:val="24"/>
              </w:rPr>
            </w:pPr>
            <w:r>
              <w:rPr>
                <w:rFonts w:hint="eastAsia" w:ascii="仿宋" w:hAnsi="仿宋" w:eastAsia="仿宋" w:cs="仿宋"/>
                <w:b/>
                <w:bCs/>
                <w:color w:val="000000"/>
                <w:kern w:val="0"/>
                <w:sz w:val="24"/>
              </w:rPr>
              <w:t>★本次安全加固升级需在医院现有的网站管理系统基础上进行安装部署，并获得</w:t>
            </w:r>
            <w:r>
              <w:rPr>
                <w:rFonts w:hint="eastAsia" w:ascii="仿宋" w:hAnsi="仿宋" w:eastAsia="仿宋" w:cs="仿宋"/>
                <w:b/>
                <w:bCs/>
                <w:color w:val="000000"/>
                <w:kern w:val="0"/>
                <w:sz w:val="24"/>
                <w:lang w:val="en-US" w:eastAsia="zh-CN"/>
              </w:rPr>
              <w:t>原</w:t>
            </w:r>
            <w:r>
              <w:rPr>
                <w:rFonts w:hint="eastAsia" w:ascii="仿宋" w:hAnsi="仿宋" w:eastAsia="仿宋" w:cs="仿宋"/>
                <w:b/>
                <w:bCs/>
                <w:color w:val="000000"/>
                <w:kern w:val="0"/>
                <w:sz w:val="24"/>
              </w:rPr>
              <w:t>网站管理系统开发公司的授权。</w:t>
            </w:r>
          </w:p>
          <w:p>
            <w:pPr>
              <w:autoSpaceDE w:val="0"/>
              <w:autoSpaceDN w:val="0"/>
              <w:jc w:val="left"/>
              <w:rPr>
                <w:rFonts w:hint="eastAsia" w:ascii="仿宋" w:hAnsi="仿宋" w:eastAsia="仿宋" w:cs="仿宋"/>
                <w:b/>
                <w:bCs/>
                <w:color w:val="000000"/>
                <w:kern w:val="0"/>
                <w:sz w:val="24"/>
              </w:rPr>
            </w:pPr>
            <w:r>
              <w:rPr>
                <w:rFonts w:hint="eastAsia" w:ascii="仿宋" w:hAnsi="仿宋" w:eastAsia="仿宋" w:cs="仿宋"/>
                <w:b/>
                <w:bCs/>
                <w:color w:val="000000"/>
                <w:kern w:val="0"/>
                <w:sz w:val="24"/>
              </w:rPr>
              <w:t>★进行安装部署时，期间加固升级中会对原系统进行改造，该方面需要原系统开发公司协助并且所产生的服务费用都由中标方承担。</w:t>
            </w:r>
          </w:p>
          <w:p>
            <w:pPr>
              <w:autoSpaceDE w:val="0"/>
              <w:autoSpaceDN w:val="0"/>
              <w:jc w:val="left"/>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rPr>
              <w:t>★按照等保三级要求进行日常安全运维，并协助通过每年重保活动和等保三级测评及整改</w:t>
            </w:r>
            <w:r>
              <w:rPr>
                <w:rFonts w:hint="eastAsia" w:ascii="仿宋" w:hAnsi="仿宋" w:eastAsia="仿宋" w:cs="仿宋"/>
                <w:b/>
                <w:bCs/>
                <w:color w:val="000000"/>
                <w:kern w:val="0"/>
                <w:sz w:val="24"/>
                <w:lang w:eastAsia="zh-CN"/>
              </w:rPr>
              <w:t>，</w:t>
            </w:r>
            <w:r>
              <w:rPr>
                <w:rFonts w:hint="eastAsia" w:ascii="仿宋" w:hAnsi="仿宋" w:eastAsia="仿宋" w:cs="仿宋"/>
                <w:b/>
                <w:bCs/>
                <w:color w:val="000000"/>
                <w:kern w:val="0"/>
                <w:sz w:val="24"/>
                <w:lang w:val="en-US" w:eastAsia="zh-CN"/>
              </w:rPr>
              <w:t>整改内容需要对网站系统所有漏洞进行修复，</w:t>
            </w:r>
            <w:r>
              <w:rPr>
                <w:rFonts w:hint="eastAsia" w:ascii="仿宋" w:hAnsi="仿宋" w:eastAsia="仿宋" w:cs="仿宋"/>
                <w:b/>
                <w:bCs/>
                <w:color w:val="000000"/>
                <w:kern w:val="0"/>
                <w:sz w:val="24"/>
              </w:rPr>
              <w:t>需要原系统开发公司协助并且所产生的服务费用都由中标方承担。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trPr>
        <w:tc>
          <w:tcPr>
            <w:tcW w:w="521" w:type="dxa"/>
            <w:vAlign w:val="center"/>
          </w:tcPr>
          <w:p>
            <w:pPr>
              <w:pStyle w:val="14"/>
              <w:numPr>
                <w:ilvl w:val="0"/>
                <w:numId w:val="1"/>
              </w:numPr>
              <w:autoSpaceDE w:val="0"/>
              <w:autoSpaceDN w:val="0"/>
              <w:ind w:firstLineChars="0"/>
              <w:jc w:val="center"/>
              <w:rPr>
                <w:rFonts w:ascii="仿宋" w:hAnsi="仿宋" w:eastAsia="仿宋"/>
                <w:sz w:val="24"/>
                <w:szCs w:val="24"/>
              </w:rPr>
            </w:pPr>
          </w:p>
        </w:tc>
        <w:tc>
          <w:tcPr>
            <w:tcW w:w="1274" w:type="dxa"/>
            <w:shd w:val="clear" w:color="auto" w:fill="auto"/>
            <w:tcMar>
              <w:top w:w="0" w:type="dxa"/>
              <w:left w:w="108" w:type="dxa"/>
              <w:bottom w:w="0" w:type="dxa"/>
              <w:right w:w="108" w:type="dxa"/>
            </w:tcMar>
            <w:vAlign w:val="center"/>
          </w:tcPr>
          <w:p>
            <w:pPr>
              <w:widowControl/>
              <w:jc w:val="center"/>
              <w:textAlignment w:val="center"/>
              <w:rPr>
                <w:rFonts w:ascii="仿宋" w:hAnsi="仿宋" w:eastAsia="仿宋" w:cs="宋体"/>
                <w:color w:val="000000"/>
                <w:szCs w:val="21"/>
              </w:rPr>
            </w:pPr>
            <w:r>
              <w:rPr>
                <w:rFonts w:hint="eastAsia" w:ascii="仿宋" w:hAnsi="仿宋" w:eastAsia="仿宋" w:cs="仿宋"/>
                <w:b/>
                <w:bCs/>
                <w:kern w:val="0"/>
                <w:sz w:val="24"/>
                <w:lang w:val="en-US" w:eastAsia="zh-CN"/>
              </w:rPr>
              <w:t>云</w:t>
            </w:r>
            <w:r>
              <w:rPr>
                <w:rFonts w:hint="eastAsia" w:ascii="仿宋" w:hAnsi="仿宋" w:eastAsia="仿宋" w:cs="仿宋"/>
                <w:b/>
                <w:bCs/>
                <w:kern w:val="0"/>
                <w:sz w:val="24"/>
              </w:rPr>
              <w:t>防火墙</w:t>
            </w:r>
          </w:p>
        </w:tc>
        <w:tc>
          <w:tcPr>
            <w:tcW w:w="1750" w:type="dxa"/>
            <w:vAlign w:val="center"/>
          </w:tcPr>
          <w:p>
            <w:pPr>
              <w:jc w:val="center"/>
              <w:rPr>
                <w:rFonts w:ascii="仿宋" w:hAnsi="仿宋" w:eastAsia="仿宋" w:cs="宋体"/>
                <w:color w:val="000000"/>
                <w:kern w:val="0"/>
                <w:szCs w:val="21"/>
              </w:rPr>
            </w:pPr>
            <w:r>
              <w:rPr>
                <w:rFonts w:hint="eastAsia"/>
              </w:rPr>
              <w:t>1</w:t>
            </w:r>
          </w:p>
        </w:tc>
        <w:tc>
          <w:tcPr>
            <w:tcW w:w="6095" w:type="dxa"/>
            <w:shd w:val="clear" w:color="auto" w:fill="auto"/>
            <w:tcMar>
              <w:top w:w="0" w:type="dxa"/>
              <w:left w:w="108" w:type="dxa"/>
              <w:bottom w:w="0" w:type="dxa"/>
              <w:right w:w="108" w:type="dxa"/>
            </w:tcMar>
            <w:vAlign w:val="center"/>
          </w:tcPr>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★支持基于硬件Hypervisor技术的底层虚拟化，各个虚拟防火墙之间完全隔离，可运行不同的防火墙版本，拥有完全独立的CPU、内存、接口等资源。提供虚拟防火墙资源配置管理界面截图。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★每个虚拟防火墙均提供完整的安全功能，包括防火墙、入侵防御、防病毒、上网行为管理和流控、VPN、IPv4/IPv6双栈等。</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★支持基于接口/安全域、地址、用户、服务、应用和时间的防火墙访问控制策略，提供相关界面截图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★支持基于接口/安全域、地址、用户、服务、应用和时间的会话控制策略，包括总连接数控制、每秒总新建连接数控制、每IP总连接数控制、每IP新建连接数控制。提供相关界面截图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支持策略预编译技术，在大量防火墙访问控制策略情况下整机性能不受影响。提供相关界面截图。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支持路由、透明及混合部署模式</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支持常见DOS攻击防护及ARP攻击防护</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支持基于协议的长连接管理</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支持并开通网络入侵检测及防御功能，入侵防御事件库事件数量不少于3000条</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可基于IP地址、网段、用户、时间、VLAN、协议类型等条件设定入侵防御模块的检测事件及响应方式。提供相关界面截图。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具备协议自动识别功能；支持自定义事件功能；</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xml:space="preserve">提供SQL注入攻击、XSS攻击的检测和防御功能，对Web服务系统提供保护； </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支持并开通对HTTP、FTP、SMTP、POP3、IMAP协议的病毒检测和过滤功能；</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支持对文件感染型病毒、蠕虫病毒、脚本病毒、宏病毒、木马、恶意软件等过滤，病毒库数量不少于200万。</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防病毒功能开启后，整机处理性能衰减不超过30%</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支持对服务器、客户端进行的口令暴力破解的攻击防护；提供相关界面截图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支持高、中、低三种密码检查强度，提供相关界面截图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支持对常见应用（如HTTP、Telnet、FTP、SMTP、POP3等）进行弱口令检查，并上报安全事件，提供相关界面截图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支持并开通WEB防护功能，支持对100个站点制订Web应用防护策略；提供相关界面截图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支持HTTP请求回应的头、体检查；</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支持自定义WEB安全防护事件，可以对请求参数、各个头域、内容关键字、文件类型等进行灵活组合生成策略。提供相关界面截图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支持HTTP的异常检测，包括版本、方法、URL、头域字段、传输文件等的合规性检查；提供相关界面截图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支持检测WEB攻击事件，包括：SQL注入，XSS跨站脚本攻击，PHP代码注入，WEBSHELL攻击、信息泄漏等问题；提供相关界面截图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支持独立的WEB特征库，并可以自动、手工升级；提供相关界面截图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★支持并开通基于DPI和DFI技术的应用特征识别及行为控制，应用识别的种类不少于1000种</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支持并开通基于URL分类库的WEB访问管理，URL分类库规模不少于20万条</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支持并开通基于线路和多层通道嵌套的带宽管理和流量控制功能，提供至少四层管道嵌套的流控界面截图。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支持基于接口的上下行带宽管理</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支持高、中、低优先级通道设置</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支持基于应用、用户、源地址、目标地址、服务、时间的通道匹配</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支持带宽限制、带宽保障和弹性带宽</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★支持静态路由、动态路由（RIP、OSPF、BGP4），提供相关界面截图。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★支持基于入接口、源地址、目标地址、服务端口、应用类型的策略路由。提供相关界面截图。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★支持并开通链路负载均衡，提供轮询、加权轮询、哈希等多种负载均衡算法，提供相关界面截图。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★支持并开通IPSec VPN和L2TP VPN，投标产品实配IPSec VPN隧道数量不少于xxx条</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支持并开通SSL VPN功能，投标产品实配SSL VPN并发用户数不少于xxx个。</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支持通过ICMP、TCP、DNS和HTTP协议实现对链路可用性的多重健康检查，提供相关界面截图。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支持源NAT、目的NAT、静态NAT，支持一对一、一对多和多对多等形式的NAT</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支持各种应用协议的NAT穿越：FTP、TFTP、H.323、SQL＊NET</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支持标准DHCP服务功能，支持DHCP条件下的IP/MAC绑定及IP地址排除等功能。</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支持DNS透明代理功能，可将指定范围内的DNS请求自动重定向至管理员指定的DNS服务器，且支持多台DNS服务器的负载均衡。提供相关界面截图。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支持标准DNS服务器功能，支持多种DNS 记录 ，包括A ，NS，CNMAE，TXT，MX，PTR记录。提供相关界面截图。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bookmarkStart w:id="3" w:name="_GoBack"/>
            <w:r>
              <w:rPr>
                <w:rFonts w:hint="eastAsia" w:ascii="微软雅黑" w:hAnsi="微软雅黑" w:eastAsia="微软雅黑" w:cs="宋体"/>
                <w:color w:val="000000"/>
                <w:kern w:val="0"/>
                <w:sz w:val="18"/>
                <w:szCs w:val="18"/>
              </w:rPr>
              <w:t>支持双边链路质量优化，支持对称模式部署，在链路存在丢包、延迟、抖动等因素时，通过专有的协议隧道模式，封装用户应用，并改善网络环境中的应用性能解决数据丢包、延迟等问题。提供相关技术原理说明及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支持链路复制技术，针对核心业务如“视频”，提供多路复制，单路收发功能，在多条链路间实现业务无缝切换；提供相关技术原理说明及界面截图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支持链路扩容技术，实现一个session在多条链路上同时传输，充分利用带宽。提供相关技术原理说明及界面截图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支持HTTP压缩功能，采用工业标准的GZIP或Deflate算法来压缩HTTP数据，从而减少传输数据量并降低带宽消耗，缩短客户端访问的下载等待时间   提供相关技术原理说明及界面截图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支持主-主和主-备模式，主备模式下支持基于设备优先级的主设备抢占功能。</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支持基于心跳信号丢失、链路断开等多种方式的HA切换条件及逻辑</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支持HA设备之间的会话自动同步，包括主主模式和主备模式，确保HA切换时业务不发生任何中断</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支持双路HA物理心跳线，确保HA运行稳定可靠</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支持HA设备之间的配置自动同步，确保用户只需在一台设备进行业务配置</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支持基于WEB和命令行的设备管理模式，WEB界面和命令行模式下均可实现对设备所有功能的管理配置</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支持SYSLOG和SNMP v3，SYSLOG日志支持同时发给多个日志服务器</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支持威胁可视化技术和流量可视化技术，可提供详细的分析展示图表。</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整机威胁统计和展示，包括基于地理位置的威胁地图展示、基于威胁级别和威胁类型的统计分析、基于威胁事件源/目的主机的TOP10统计展示、基于具体威胁事件/威胁类型的TOP10统计展示等，统计展示的时间周期包括1小时/1天/7天/30天。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支持基于流量的TOP100用户和TOP100应用的流量曲线图，流量曲线图的统计周期包括小时、天、7天和30天。提供相关界面截图</w:t>
            </w:r>
          </w:p>
          <w:p>
            <w:pPr>
              <w:numPr>
                <w:ilvl w:val="0"/>
                <w:numId w:val="2"/>
              </w:numPr>
              <w:ind w:left="425" w:leftChars="0" w:hanging="425" w:firstLineChars="0"/>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支持基于并发会话数量的TOP100用户和TOP100应用的并发数量曲线图，并发数量曲线图的统计周期包括小时、天、7天和30天。提供相关界面截图</w:t>
            </w:r>
            <w:bookmarkEnd w:id="3"/>
          </w:p>
        </w:tc>
      </w:tr>
    </w:tbl>
    <w:p>
      <w:pPr>
        <w:widowControl/>
        <w:jc w:val="left"/>
        <w:rPr>
          <w:rFonts w:ascii="仿宋_GB2312" w:hAnsi="Segoe UI" w:eastAsia="仿宋_GB2312" w:cs="Segoe UI"/>
          <w:color w:val="333333"/>
          <w:spacing w:val="8"/>
          <w:kern w:val="0"/>
          <w:sz w:val="24"/>
          <w:szCs w:val="24"/>
        </w:rPr>
      </w:pPr>
      <w:r>
        <w:rPr>
          <w:rFonts w:ascii="仿宋_GB2312" w:hAnsi="Segoe UI" w:eastAsia="仿宋_GB2312" w:cs="Segoe UI"/>
          <w:color w:val="333333"/>
          <w:spacing w:val="8"/>
          <w:kern w:val="0"/>
          <w:sz w:val="24"/>
          <w:szCs w:val="24"/>
        </w:rPr>
        <w:br w:type="page"/>
      </w:r>
    </w:p>
    <w:p>
      <w:pPr>
        <w:widowControl/>
        <w:shd w:val="clear" w:color="auto" w:fill="FFFFFF"/>
        <w:wordWrap w:val="0"/>
        <w:spacing w:line="280" w:lineRule="exact"/>
        <w:jc w:val="left"/>
        <w:outlineLvl w:val="1"/>
        <w:rPr>
          <w:rFonts w:ascii="仿宋_GB2312" w:hAnsi="Segoe UI" w:eastAsia="仿宋_GB2312" w:cs="Segoe UI"/>
          <w:color w:val="333333"/>
          <w:spacing w:val="8"/>
          <w:kern w:val="0"/>
          <w:sz w:val="24"/>
          <w:szCs w:val="24"/>
        </w:rPr>
      </w:pPr>
      <w:r>
        <w:rPr>
          <w:rFonts w:ascii="仿宋_GB2312" w:hAnsi="Segoe UI" w:eastAsia="仿宋_GB2312" w:cs="Segoe UI"/>
          <w:color w:val="333333"/>
          <w:spacing w:val="8"/>
          <w:kern w:val="0"/>
          <w:sz w:val="24"/>
          <w:szCs w:val="24"/>
        </w:rPr>
        <w:t>4</w:t>
      </w:r>
      <w:r>
        <w:rPr>
          <w:rFonts w:hint="eastAsia" w:ascii="仿宋_GB2312" w:hAnsi="Segoe UI" w:eastAsia="仿宋_GB2312" w:cs="Segoe UI"/>
          <w:color w:val="333333"/>
          <w:spacing w:val="8"/>
          <w:kern w:val="0"/>
          <w:sz w:val="24"/>
          <w:szCs w:val="24"/>
        </w:rPr>
        <w:t>.</w:t>
      </w:r>
      <w:r>
        <w:rPr>
          <w:rFonts w:hint="eastAsia" w:ascii="仿宋_GB2312" w:hAnsi="Segoe UI" w:eastAsia="仿宋_GB2312" w:cs="Segoe UI"/>
          <w:b/>
          <w:bCs/>
          <w:color w:val="333333"/>
          <w:spacing w:val="8"/>
          <w:kern w:val="0"/>
          <w:sz w:val="24"/>
          <w:szCs w:val="24"/>
        </w:rPr>
        <w:t>商务要求</w:t>
      </w:r>
      <w:r>
        <w:rPr>
          <w:rFonts w:hint="eastAsia" w:ascii="仿宋_GB2312" w:hAnsi="Segoe UI" w:eastAsia="仿宋_GB2312" w:cs="Segoe UI"/>
          <w:color w:val="333333"/>
          <w:spacing w:val="8"/>
          <w:kern w:val="0"/>
          <w:sz w:val="24"/>
          <w:szCs w:val="24"/>
        </w:rPr>
        <w:t>：</w:t>
      </w:r>
    </w:p>
    <w:p>
      <w:pPr>
        <w:pStyle w:val="14"/>
        <w:widowControl/>
        <w:numPr>
          <w:ilvl w:val="0"/>
          <w:numId w:val="3"/>
        </w:numPr>
        <w:shd w:val="clear" w:color="auto" w:fill="FFFFFF"/>
        <w:wordWrap w:val="0"/>
        <w:ind w:firstLineChars="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项目服务期限和交付地点：升级需要在一个月内完成，同时需要在后续保障升级的基础上，维护11个月，总服务期一年。地点由采购人指定。</w:t>
      </w:r>
    </w:p>
    <w:p>
      <w:pPr>
        <w:pStyle w:val="14"/>
        <w:widowControl/>
        <w:numPr>
          <w:ilvl w:val="0"/>
          <w:numId w:val="3"/>
        </w:numPr>
        <w:shd w:val="clear" w:color="auto" w:fill="FFFFFF"/>
        <w:wordWrap w:val="0"/>
        <w:ind w:firstLineChars="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付款方式：</w:t>
      </w:r>
    </w:p>
    <w:p>
      <w:pPr>
        <w:spacing w:line="300" w:lineRule="exact"/>
        <w:ind w:firstLine="512" w:firstLineChars="200"/>
        <w:contextualSpacing/>
        <w:rPr>
          <w:rFonts w:hint="eastAsia" w:ascii="仿宋_GB2312" w:hAnsi="Segoe UI" w:eastAsia="仿宋_GB2312" w:cs="Segoe UI"/>
          <w:color w:val="333333"/>
          <w:spacing w:val="8"/>
          <w:kern w:val="0"/>
          <w:sz w:val="24"/>
          <w:szCs w:val="24"/>
          <w:lang w:val="en-US" w:eastAsia="zh-CN" w:bidi="ar-SA"/>
        </w:rPr>
      </w:pPr>
      <w:r>
        <w:rPr>
          <w:rFonts w:hint="eastAsia" w:ascii="仿宋_GB2312" w:hAnsi="Segoe UI" w:eastAsia="仿宋_GB2312" w:cs="Segoe UI"/>
          <w:color w:val="333333"/>
          <w:spacing w:val="8"/>
          <w:kern w:val="0"/>
          <w:sz w:val="24"/>
          <w:szCs w:val="24"/>
          <w:lang w:val="en-US" w:eastAsia="zh-CN" w:bidi="ar-SA"/>
        </w:rPr>
        <w:t>（1）合同签订后，中标方成员进场后，中标方提交付款申请后，招标方30个工作日内支付同总金额的90%；</w:t>
      </w:r>
    </w:p>
    <w:p>
      <w:pPr>
        <w:spacing w:line="300" w:lineRule="exact"/>
        <w:ind w:firstLine="512" w:firstLineChars="200"/>
        <w:contextualSpacing/>
        <w:rPr>
          <w:rFonts w:hint="eastAsia" w:ascii="仿宋_GB2312" w:hAnsi="Segoe UI" w:eastAsia="仿宋_GB2312" w:cs="Segoe UI"/>
          <w:color w:val="333333"/>
          <w:spacing w:val="8"/>
          <w:kern w:val="0"/>
          <w:sz w:val="24"/>
          <w:szCs w:val="24"/>
          <w:lang w:val="en-US" w:eastAsia="zh-CN" w:bidi="ar-SA"/>
        </w:rPr>
      </w:pPr>
      <w:r>
        <w:rPr>
          <w:rFonts w:hint="eastAsia" w:ascii="仿宋_GB2312" w:hAnsi="Segoe UI" w:eastAsia="仿宋_GB2312" w:cs="Segoe UI"/>
          <w:color w:val="333333"/>
          <w:spacing w:val="8"/>
          <w:kern w:val="0"/>
          <w:sz w:val="24"/>
          <w:szCs w:val="24"/>
          <w:lang w:val="en-US" w:eastAsia="zh-CN" w:bidi="ar-SA"/>
        </w:rPr>
        <w:t>（2）</w:t>
      </w:r>
      <w:r>
        <w:rPr>
          <w:rFonts w:hint="eastAsia" w:ascii="仿宋_GB2312" w:hAnsi="Segoe UI" w:eastAsia="仿宋_GB2312" w:cs="Segoe UI"/>
          <w:color w:val="333333"/>
          <w:spacing w:val="8"/>
          <w:kern w:val="0"/>
          <w:sz w:val="24"/>
          <w:szCs w:val="24"/>
        </w:rPr>
        <w:t>总服务期</w:t>
      </w:r>
      <w:r>
        <w:rPr>
          <w:rFonts w:hint="eastAsia" w:ascii="仿宋_GB2312" w:hAnsi="Segoe UI" w:eastAsia="仿宋_GB2312" w:cs="Segoe UI"/>
          <w:color w:val="333333"/>
          <w:spacing w:val="8"/>
          <w:kern w:val="0"/>
          <w:sz w:val="24"/>
          <w:szCs w:val="24"/>
          <w:lang w:val="en-US" w:eastAsia="zh-CN"/>
        </w:rPr>
        <w:t>完成并验收通过后</w:t>
      </w:r>
      <w:r>
        <w:rPr>
          <w:rFonts w:hint="eastAsia" w:ascii="仿宋_GB2312" w:hAnsi="Segoe UI" w:eastAsia="仿宋_GB2312" w:cs="Segoe UI"/>
          <w:color w:val="333333"/>
          <w:spacing w:val="8"/>
          <w:kern w:val="0"/>
          <w:sz w:val="24"/>
          <w:szCs w:val="24"/>
          <w:lang w:val="en-US" w:eastAsia="zh-CN" w:bidi="ar-SA"/>
        </w:rPr>
        <w:t>，中标方提交付款申请后，招标方30个工作日内支付合同总金额的10%。</w:t>
      </w:r>
    </w:p>
    <w:p>
      <w:pPr>
        <w:pStyle w:val="14"/>
        <w:widowControl/>
        <w:numPr>
          <w:ilvl w:val="0"/>
          <w:numId w:val="0"/>
        </w:numPr>
        <w:shd w:val="clear" w:color="auto" w:fill="FFFFFF"/>
        <w:wordWrap w:val="0"/>
        <w:ind w:leftChars="0"/>
        <w:jc w:val="left"/>
        <w:rPr>
          <w:rFonts w:ascii="仿宋_GB2312" w:hAnsi="Segoe UI" w:eastAsia="仿宋_GB2312" w:cs="Segoe UI"/>
          <w:color w:val="333333"/>
          <w:spacing w:val="8"/>
          <w:kern w:val="0"/>
          <w:sz w:val="24"/>
          <w:szCs w:val="24"/>
        </w:rPr>
      </w:pPr>
    </w:p>
    <w:p>
      <w:pPr>
        <w:pStyle w:val="14"/>
        <w:widowControl/>
        <w:numPr>
          <w:ilvl w:val="0"/>
          <w:numId w:val="3"/>
        </w:numPr>
        <w:shd w:val="clear" w:color="auto" w:fill="FFFFFF"/>
        <w:wordWrap w:val="0"/>
        <w:ind w:firstLineChars="0"/>
        <w:jc w:val="left"/>
        <w:rPr>
          <w:rFonts w:ascii="仿宋_GB2312" w:hAnsi="Segoe UI" w:eastAsia="仿宋_GB2312" w:cs="Segoe UI"/>
          <w:color w:val="333333"/>
          <w:spacing w:val="8"/>
          <w:kern w:val="0"/>
          <w:sz w:val="24"/>
          <w:szCs w:val="24"/>
        </w:rPr>
      </w:pPr>
      <w:r>
        <w:rPr>
          <w:rFonts w:hint="eastAsia" w:ascii="仿宋" w:hAnsi="仿宋" w:eastAsia="仿宋" w:cs="仿宋"/>
          <w:color w:val="000000"/>
          <w:kern w:val="0"/>
          <w:sz w:val="24"/>
        </w:rPr>
        <w:t>★</w:t>
      </w:r>
      <w:r>
        <w:rPr>
          <w:rFonts w:hint="eastAsia" w:ascii="仿宋_GB2312" w:hAnsi="Segoe UI" w:eastAsia="仿宋_GB2312" w:cs="Segoe UI"/>
          <w:color w:val="333333"/>
          <w:spacing w:val="8"/>
          <w:kern w:val="0"/>
          <w:sz w:val="24"/>
          <w:szCs w:val="24"/>
        </w:rPr>
        <w:t>售后要求：能根据国家最新文件，更新防护规则；网站安全发生问题0.5小时响应，2小时内处理完毕。</w:t>
      </w:r>
    </w:p>
    <w:p>
      <w:pPr>
        <w:pStyle w:val="14"/>
        <w:widowControl/>
        <w:numPr>
          <w:ilvl w:val="0"/>
          <w:numId w:val="3"/>
        </w:numPr>
        <w:shd w:val="clear" w:color="auto" w:fill="FFFFFF"/>
        <w:wordWrap w:val="0"/>
        <w:ind w:firstLineChars="0"/>
        <w:jc w:val="left"/>
        <w:rPr>
          <w:rFonts w:ascii="仿宋_GB2312" w:hAnsi="Segoe UI" w:eastAsia="仿宋_GB2312" w:cs="Segoe UI"/>
          <w:color w:val="333333"/>
          <w:spacing w:val="8"/>
          <w:kern w:val="0"/>
          <w:sz w:val="24"/>
          <w:szCs w:val="24"/>
        </w:rPr>
      </w:pPr>
      <w:r>
        <w:rPr>
          <w:rFonts w:hint="eastAsia" w:ascii="仿宋" w:hAnsi="仿宋" w:eastAsia="仿宋" w:cs="仿宋"/>
          <w:color w:val="000000"/>
          <w:kern w:val="0"/>
          <w:sz w:val="24"/>
        </w:rPr>
        <w:t>★</w:t>
      </w:r>
      <w:r>
        <w:rPr>
          <w:rFonts w:hint="eastAsia" w:ascii="仿宋_GB2312" w:hAnsi="Segoe UI" w:eastAsia="仿宋_GB2312" w:cs="Segoe UI"/>
          <w:color w:val="333333"/>
          <w:spacing w:val="8"/>
          <w:kern w:val="0"/>
          <w:sz w:val="24"/>
          <w:szCs w:val="24"/>
        </w:rPr>
        <w:t>验收的标准：按国家有关规定以及采购人采购文件的质量要求和技术指标、供应商的响应文件及承诺与本合同约定标准进行验收；双方如对质量要求和技术指标的约定标准有相互抵触或异议的事项，由采购人在招标与响应文件中按质量要求和技术指标比较优胜的原则确定该项的约定标准进行验收。</w:t>
      </w:r>
    </w:p>
    <w:p>
      <w:pPr>
        <w:widowControl/>
        <w:shd w:val="clear" w:color="auto" w:fill="FFFFFF"/>
        <w:wordWrap w:val="0"/>
        <w:jc w:val="left"/>
      </w:pPr>
      <w:r>
        <w:rPr>
          <w:rFonts w:hint="eastAsia" w:ascii="仿宋_GB2312" w:hAnsi="Segoe UI" w:eastAsia="仿宋_GB2312" w:cs="Segoe UI"/>
          <w:color w:val="333333"/>
          <w:spacing w:val="8"/>
          <w:kern w:val="0"/>
          <w:sz w:val="24"/>
          <w:szCs w:val="24"/>
        </w:rPr>
        <w:t>备注:</w:t>
      </w:r>
    </w:p>
    <w:p>
      <w:pPr>
        <w:widowControl/>
        <w:shd w:val="clear" w:color="auto" w:fill="FFFFFF"/>
        <w:wordWrap w:val="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以上打</w:t>
      </w:r>
      <w:r>
        <w:rPr>
          <w:rFonts w:hint="eastAsia" w:ascii="仿宋" w:hAnsi="仿宋" w:eastAsia="仿宋" w:cs="仿宋"/>
          <w:color w:val="000000"/>
          <w:kern w:val="0"/>
          <w:sz w:val="24"/>
        </w:rPr>
        <w:t>★</w:t>
      </w:r>
      <w:r>
        <w:rPr>
          <w:rFonts w:hint="eastAsia" w:ascii="仿宋_GB2312" w:hAnsi="Segoe UI" w:eastAsia="仿宋_GB2312" w:cs="Segoe UI"/>
          <w:color w:val="333333"/>
          <w:spacing w:val="8"/>
          <w:kern w:val="0"/>
          <w:sz w:val="24"/>
          <w:szCs w:val="24"/>
        </w:rPr>
        <w:t>号的条款为本次招标项目的实质性要求，不允许有负偏离。</w:t>
      </w:r>
    </w:p>
    <w:p>
      <w:pPr>
        <w:widowControl/>
        <w:jc w:val="left"/>
        <w:rPr>
          <w:rFonts w:ascii="宋体" w:hAnsi="宋体" w:eastAsia="宋体" w:cs="Segoe UI"/>
          <w:b/>
          <w:bCs/>
          <w:color w:val="333333"/>
          <w:kern w:val="0"/>
          <w:sz w:val="28"/>
          <w:szCs w:val="28"/>
        </w:rPr>
      </w:pPr>
      <w:r>
        <w:rPr>
          <w:rFonts w:ascii="宋体" w:hAnsi="宋体" w:eastAsia="宋体" w:cs="Segoe UI"/>
          <w:b/>
          <w:bCs/>
          <w:color w:val="333333"/>
          <w:kern w:val="0"/>
          <w:sz w:val="28"/>
          <w:szCs w:val="28"/>
        </w:rPr>
        <w:br w:type="page"/>
      </w:r>
    </w:p>
    <w:p>
      <w:pPr>
        <w:widowControl/>
        <w:shd w:val="clear" w:color="auto" w:fill="FFFFFF"/>
        <w:wordWrap w:val="0"/>
        <w:jc w:val="left"/>
        <w:outlineLvl w:val="0"/>
        <w:rPr>
          <w:rFonts w:hint="eastAsia"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评审办法（综合评分明细表）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240"/>
        <w:gridCol w:w="563"/>
        <w:gridCol w:w="4824"/>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0" w:type="auto"/>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序号</w:t>
            </w:r>
          </w:p>
        </w:tc>
        <w:tc>
          <w:tcPr>
            <w:tcW w:w="1240" w:type="dxa"/>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评分因素</w:t>
            </w:r>
          </w:p>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及权重</w:t>
            </w:r>
          </w:p>
        </w:tc>
        <w:tc>
          <w:tcPr>
            <w:tcW w:w="563" w:type="dxa"/>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分值</w:t>
            </w:r>
          </w:p>
        </w:tc>
        <w:tc>
          <w:tcPr>
            <w:tcW w:w="0" w:type="auto"/>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评分标准</w:t>
            </w:r>
          </w:p>
        </w:tc>
        <w:tc>
          <w:tcPr>
            <w:tcW w:w="0" w:type="auto"/>
            <w:vAlign w:val="center"/>
          </w:tcPr>
          <w:p>
            <w:pPr>
              <w:spacing w:line="400" w:lineRule="exact"/>
              <w:jc w:val="center"/>
              <w:rPr>
                <w:rFonts w:ascii="仿宋" w:hAnsi="仿宋" w:eastAsia="仿宋" w:cs="宋体"/>
                <w:kern w:val="0"/>
                <w:sz w:val="24"/>
              </w:rPr>
            </w:pPr>
            <w:r>
              <w:rPr>
                <w:rFonts w:hint="eastAsia" w:ascii="仿宋" w:hAnsi="仿宋" w:eastAsia="仿宋"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0" w:type="auto"/>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1</w:t>
            </w:r>
          </w:p>
        </w:tc>
        <w:tc>
          <w:tcPr>
            <w:tcW w:w="1240" w:type="dxa"/>
            <w:vAlign w:val="center"/>
          </w:tcPr>
          <w:p>
            <w:pPr>
              <w:rPr>
                <w:rFonts w:ascii="仿宋" w:hAnsi="仿宋" w:eastAsia="仿宋" w:cs="宋体"/>
                <w:kern w:val="0"/>
                <w:sz w:val="24"/>
              </w:rPr>
            </w:pPr>
            <w:r>
              <w:rPr>
                <w:rFonts w:hint="eastAsia" w:ascii="仿宋" w:hAnsi="仿宋" w:eastAsia="仿宋" w:cs="宋体"/>
                <w:kern w:val="0"/>
                <w:sz w:val="24"/>
              </w:rPr>
              <w:t>报价10%</w:t>
            </w:r>
          </w:p>
          <w:p>
            <w:pPr>
              <w:rPr>
                <w:rFonts w:ascii="仿宋" w:hAnsi="仿宋" w:eastAsia="仿宋" w:cs="宋体"/>
                <w:kern w:val="0"/>
                <w:sz w:val="24"/>
              </w:rPr>
            </w:pPr>
            <w:r>
              <w:rPr>
                <w:rFonts w:hint="eastAsia" w:ascii="仿宋" w:hAnsi="仿宋" w:eastAsia="仿宋" w:cs="宋体"/>
                <w:kern w:val="0"/>
                <w:sz w:val="24"/>
              </w:rPr>
              <w:t>（主要评分因素）</w:t>
            </w:r>
          </w:p>
        </w:tc>
        <w:tc>
          <w:tcPr>
            <w:tcW w:w="563" w:type="dxa"/>
            <w:vAlign w:val="center"/>
          </w:tcPr>
          <w:p>
            <w:pPr>
              <w:rPr>
                <w:rFonts w:ascii="仿宋" w:hAnsi="仿宋" w:eastAsia="仿宋" w:cs="宋体"/>
                <w:kern w:val="0"/>
                <w:sz w:val="24"/>
              </w:rPr>
            </w:pPr>
            <w:r>
              <w:rPr>
                <w:rFonts w:hint="eastAsia" w:ascii="仿宋" w:hAnsi="仿宋" w:eastAsia="仿宋" w:cs="宋体"/>
                <w:kern w:val="0"/>
                <w:sz w:val="24"/>
              </w:rPr>
              <w:t>10分</w:t>
            </w:r>
          </w:p>
        </w:tc>
        <w:tc>
          <w:tcPr>
            <w:tcW w:w="0" w:type="auto"/>
            <w:vAlign w:val="center"/>
          </w:tcPr>
          <w:p>
            <w:pPr>
              <w:rPr>
                <w:rFonts w:ascii="仿宋" w:hAnsi="仿宋" w:eastAsia="仿宋" w:cs="宋体"/>
                <w:kern w:val="0"/>
                <w:sz w:val="24"/>
              </w:rPr>
            </w:pPr>
            <w:r>
              <w:rPr>
                <w:rFonts w:hint="eastAsia" w:ascii="仿宋" w:hAnsi="仿宋" w:eastAsia="仿宋" w:cs="宋体"/>
                <w:kern w:val="0"/>
                <w:sz w:val="24"/>
              </w:rPr>
              <w:t>满足磋商文件要求且响应价格最低的响应报价为磋商基准价，其价格分为满分。其他供应商的价格分统一按照下列公式计算：磋商报价得分=(磋商基准价／最后磋商报价)* 10%*100。</w:t>
            </w:r>
          </w:p>
        </w:tc>
        <w:tc>
          <w:tcPr>
            <w:tcW w:w="0" w:type="auto"/>
            <w:vAlign w:val="center"/>
          </w:tcPr>
          <w:p>
            <w:pPr>
              <w:rPr>
                <w:rFonts w:ascii="仿宋" w:hAnsi="仿宋" w:eastAsia="仿宋" w:cs="宋体"/>
                <w:kern w:val="0"/>
                <w:sz w:val="24"/>
              </w:rPr>
            </w:pPr>
            <w:r>
              <w:rPr>
                <w:rFonts w:hint="eastAsia" w:ascii="仿宋" w:hAnsi="仿宋" w:eastAsia="仿宋"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0" w:type="auto"/>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2</w:t>
            </w:r>
          </w:p>
        </w:tc>
        <w:tc>
          <w:tcPr>
            <w:tcW w:w="1240" w:type="dxa"/>
            <w:vAlign w:val="center"/>
          </w:tcPr>
          <w:p>
            <w:pPr>
              <w:rPr>
                <w:rFonts w:ascii="仿宋" w:hAnsi="仿宋" w:eastAsia="仿宋" w:cs="宋体"/>
                <w:kern w:val="0"/>
                <w:sz w:val="24"/>
              </w:rPr>
            </w:pPr>
            <w:r>
              <w:rPr>
                <w:rFonts w:hint="eastAsia" w:ascii="仿宋" w:hAnsi="仿宋" w:eastAsia="仿宋" w:cs="宋体"/>
                <w:kern w:val="0"/>
                <w:sz w:val="24"/>
              </w:rPr>
              <w:t>技术服务要求</w:t>
            </w:r>
            <w:r>
              <w:rPr>
                <w:rFonts w:ascii="仿宋" w:hAnsi="仿宋" w:eastAsia="仿宋" w:cs="宋体"/>
                <w:kern w:val="0"/>
                <w:sz w:val="24"/>
              </w:rPr>
              <w:t>40</w:t>
            </w:r>
            <w:r>
              <w:rPr>
                <w:rFonts w:hint="eastAsia" w:ascii="仿宋" w:hAnsi="仿宋" w:eastAsia="仿宋" w:cs="宋体"/>
                <w:kern w:val="0"/>
                <w:sz w:val="24"/>
              </w:rPr>
              <w:t>%（主要评分因素）</w:t>
            </w:r>
          </w:p>
        </w:tc>
        <w:tc>
          <w:tcPr>
            <w:tcW w:w="563" w:type="dxa"/>
            <w:vAlign w:val="center"/>
          </w:tcPr>
          <w:p>
            <w:pPr>
              <w:rPr>
                <w:rFonts w:ascii="仿宋" w:hAnsi="仿宋" w:eastAsia="仿宋" w:cs="宋体"/>
                <w:kern w:val="0"/>
                <w:sz w:val="24"/>
              </w:rPr>
            </w:pPr>
            <w:r>
              <w:rPr>
                <w:rFonts w:ascii="仿宋" w:hAnsi="仿宋" w:eastAsia="仿宋" w:cs="宋体"/>
                <w:kern w:val="0"/>
                <w:sz w:val="24"/>
              </w:rPr>
              <w:t>40</w:t>
            </w:r>
            <w:r>
              <w:rPr>
                <w:rFonts w:hint="eastAsia" w:ascii="仿宋" w:hAnsi="仿宋" w:eastAsia="仿宋" w:cs="宋体"/>
                <w:kern w:val="0"/>
                <w:sz w:val="24"/>
              </w:rPr>
              <w:t>分</w:t>
            </w:r>
          </w:p>
        </w:tc>
        <w:tc>
          <w:tcPr>
            <w:tcW w:w="0" w:type="auto"/>
            <w:vAlign w:val="center"/>
          </w:tcPr>
          <w:p>
            <w:pPr>
              <w:rPr>
                <w:rFonts w:ascii="仿宋" w:hAnsi="仿宋" w:eastAsia="仿宋" w:cs="宋体"/>
                <w:kern w:val="0"/>
                <w:sz w:val="24"/>
              </w:rPr>
            </w:pPr>
            <w:r>
              <w:rPr>
                <w:rFonts w:hint="eastAsia" w:ascii="仿宋" w:hAnsi="仿宋" w:eastAsia="仿宋" w:cs="宋体"/>
                <w:kern w:val="0"/>
                <w:sz w:val="24"/>
              </w:rPr>
              <w:t>完全符合附件一技术参数要求没有负偏离得</w:t>
            </w:r>
            <w:r>
              <w:rPr>
                <w:rFonts w:ascii="仿宋" w:hAnsi="仿宋" w:eastAsia="仿宋" w:cs="宋体"/>
                <w:kern w:val="0"/>
                <w:sz w:val="24"/>
              </w:rPr>
              <w:t>40</w:t>
            </w:r>
            <w:r>
              <w:rPr>
                <w:rFonts w:hint="eastAsia" w:ascii="仿宋" w:hAnsi="仿宋" w:eastAsia="仿宋" w:cs="宋体"/>
                <w:kern w:val="0"/>
                <w:sz w:val="24"/>
              </w:rPr>
              <w:t>分；</w:t>
            </w:r>
            <w:r>
              <w:rPr>
                <w:rFonts w:hint="eastAsia" w:ascii="仿宋" w:hAnsi="仿宋" w:eastAsia="仿宋" w:cs="宋体"/>
                <w:b/>
                <w:bCs/>
                <w:kern w:val="0"/>
                <w:sz w:val="24"/>
              </w:rPr>
              <w:t>且带“</w:t>
            </w:r>
            <w:r>
              <w:rPr>
                <w:rStyle w:val="11"/>
                <w:rFonts w:hint="eastAsia" w:ascii="仿宋" w:hAnsi="仿宋" w:eastAsia="仿宋" w:cs="仿宋"/>
                <w:b w:val="0"/>
                <w:bCs w:val="0"/>
                <w:color w:val="000000" w:themeColor="text1"/>
                <w:sz w:val="24"/>
              </w:rPr>
              <w:t>★</w:t>
            </w:r>
            <w:r>
              <w:rPr>
                <w:rFonts w:hint="eastAsia" w:ascii="仿宋" w:hAnsi="仿宋" w:eastAsia="仿宋" w:cs="宋体"/>
                <w:b/>
                <w:bCs/>
                <w:kern w:val="0"/>
                <w:sz w:val="24"/>
              </w:rPr>
              <w:t>”号条款必须响应，不响应不得分</w:t>
            </w:r>
            <w:r>
              <w:rPr>
                <w:rFonts w:hint="eastAsia" w:ascii="仿宋" w:hAnsi="仿宋" w:eastAsia="仿宋" w:cs="宋体"/>
                <w:kern w:val="0"/>
                <w:sz w:val="24"/>
              </w:rPr>
              <w:t>；非“</w:t>
            </w:r>
            <w:r>
              <w:rPr>
                <w:rStyle w:val="11"/>
                <w:rFonts w:hint="eastAsia" w:ascii="仿宋" w:hAnsi="仿宋" w:eastAsia="仿宋" w:cs="仿宋"/>
                <w:color w:val="000000" w:themeColor="text1"/>
                <w:sz w:val="24"/>
              </w:rPr>
              <w:t>★</w:t>
            </w:r>
            <w:r>
              <w:rPr>
                <w:rFonts w:hint="eastAsia" w:ascii="仿宋" w:hAnsi="仿宋" w:eastAsia="仿宋" w:cs="宋体"/>
                <w:kern w:val="0"/>
                <w:sz w:val="24"/>
              </w:rPr>
              <w:t>”号条款有负偏离的按如下要求扣分：</w:t>
            </w:r>
          </w:p>
          <w:p>
            <w:pPr>
              <w:rPr>
                <w:rFonts w:ascii="仿宋" w:hAnsi="仿宋" w:eastAsia="仿宋" w:cs="宋体"/>
                <w:kern w:val="0"/>
                <w:sz w:val="24"/>
              </w:rPr>
            </w:pPr>
            <w:r>
              <w:rPr>
                <w:rFonts w:hint="eastAsia" w:ascii="仿宋" w:hAnsi="仿宋" w:eastAsia="仿宋" w:cs="宋体"/>
                <w:kern w:val="0"/>
                <w:sz w:val="24"/>
              </w:rPr>
              <w:t>技术参数要求条款响应得分=（供应商满足技术参数要求条款的数量÷ 技术参数要求条款总数量）×技术分。单项汇总得分保留2位小数。</w:t>
            </w:r>
          </w:p>
          <w:p>
            <w:pPr>
              <w:rPr>
                <w:rFonts w:ascii="仿宋" w:hAnsi="仿宋" w:eastAsia="仿宋" w:cs="宋体"/>
                <w:kern w:val="0"/>
                <w:sz w:val="24"/>
              </w:rPr>
            </w:pPr>
            <w:r>
              <w:rPr>
                <w:rFonts w:hint="eastAsia" w:ascii="仿宋" w:hAnsi="仿宋" w:eastAsia="仿宋" w:cs="宋体"/>
                <w:kern w:val="0"/>
                <w:sz w:val="24"/>
              </w:rPr>
              <w:t>注：</w:t>
            </w:r>
          </w:p>
          <w:p>
            <w:pPr>
              <w:rPr>
                <w:rFonts w:ascii="仿宋" w:hAnsi="仿宋" w:eastAsia="仿宋" w:cs="宋体"/>
                <w:kern w:val="0"/>
                <w:sz w:val="24"/>
              </w:rPr>
            </w:pPr>
            <w:r>
              <w:rPr>
                <w:rFonts w:hint="eastAsia" w:ascii="仿宋" w:hAnsi="仿宋" w:eastAsia="仿宋" w:cs="宋体"/>
                <w:kern w:val="0"/>
                <w:sz w:val="24"/>
              </w:rPr>
              <w:t>（1）如果技术条款对技术支撑材料有要求，应按要求提供，否则对应技术参数条款将视为不满足。</w:t>
            </w:r>
          </w:p>
          <w:p>
            <w:pPr>
              <w:rPr>
                <w:rFonts w:ascii="仿宋" w:hAnsi="仿宋" w:eastAsia="仿宋" w:cs="宋体"/>
                <w:kern w:val="0"/>
                <w:sz w:val="24"/>
              </w:rPr>
            </w:pPr>
            <w:r>
              <w:rPr>
                <w:rFonts w:hint="eastAsia" w:ascii="仿宋" w:hAnsi="仿宋" w:eastAsia="仿宋" w:cs="宋体"/>
                <w:kern w:val="0"/>
                <w:sz w:val="24"/>
              </w:rPr>
              <w:t>（2）技术条款编号以1、2、3......为一条。</w:t>
            </w:r>
          </w:p>
        </w:tc>
        <w:tc>
          <w:tcPr>
            <w:tcW w:w="0" w:type="auto"/>
            <w:vAlign w:val="center"/>
          </w:tcPr>
          <w:p>
            <w:pPr>
              <w:jc w:val="center"/>
              <w:rPr>
                <w:rFonts w:ascii="仿宋" w:hAnsi="仿宋" w:eastAsia="仿宋" w:cs="宋体"/>
                <w:kern w:val="0"/>
                <w:sz w:val="24"/>
              </w:rPr>
            </w:pPr>
            <w:r>
              <w:rPr>
                <w:rFonts w:hint="eastAsia" w:ascii="仿宋" w:hAnsi="仿宋" w:eastAsia="仿宋" w:cs="宋体"/>
                <w:kern w:val="0"/>
                <w:sz w:val="24"/>
              </w:rPr>
              <w:t>按要求提供证明材料，如未按要求提供，则视为负偏离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spacing w:line="400" w:lineRule="exact"/>
              <w:ind w:firstLine="28"/>
              <w:jc w:val="center"/>
              <w:rPr>
                <w:rFonts w:ascii="仿宋" w:hAnsi="仿宋" w:eastAsia="仿宋" w:cs="宋体"/>
                <w:kern w:val="0"/>
                <w:sz w:val="24"/>
              </w:rPr>
            </w:pPr>
            <w:r>
              <w:rPr>
                <w:rFonts w:ascii="仿宋" w:hAnsi="仿宋" w:eastAsia="仿宋" w:cs="宋体"/>
                <w:kern w:val="0"/>
                <w:sz w:val="24"/>
              </w:rPr>
              <w:t>3</w:t>
            </w:r>
          </w:p>
        </w:tc>
        <w:tc>
          <w:tcPr>
            <w:tcW w:w="1240" w:type="dxa"/>
            <w:vAlign w:val="center"/>
          </w:tcPr>
          <w:p>
            <w:pPr>
              <w:rPr>
                <w:rFonts w:ascii="仿宋" w:hAnsi="仿宋" w:eastAsia="仿宋" w:cs="宋体"/>
                <w:kern w:val="0"/>
                <w:sz w:val="24"/>
              </w:rPr>
            </w:pPr>
            <w:r>
              <w:rPr>
                <w:rFonts w:hint="eastAsia" w:ascii="仿宋" w:hAnsi="仿宋" w:eastAsia="仿宋" w:cs="宋体"/>
                <w:kern w:val="0"/>
                <w:sz w:val="24"/>
              </w:rPr>
              <w:t>业绩30%</w:t>
            </w:r>
          </w:p>
        </w:tc>
        <w:tc>
          <w:tcPr>
            <w:tcW w:w="563" w:type="dxa"/>
            <w:vAlign w:val="center"/>
          </w:tcPr>
          <w:p>
            <w:pPr>
              <w:rPr>
                <w:rFonts w:ascii="仿宋" w:hAnsi="仿宋" w:eastAsia="仿宋" w:cs="宋体"/>
                <w:kern w:val="0"/>
                <w:sz w:val="24"/>
              </w:rPr>
            </w:pPr>
            <w:r>
              <w:rPr>
                <w:rFonts w:hint="eastAsia" w:ascii="仿宋" w:hAnsi="仿宋" w:eastAsia="仿宋" w:cs="宋体"/>
                <w:kern w:val="0"/>
                <w:sz w:val="24"/>
              </w:rPr>
              <w:t>30分</w:t>
            </w:r>
          </w:p>
        </w:tc>
        <w:tc>
          <w:tcPr>
            <w:tcW w:w="0" w:type="auto"/>
            <w:vAlign w:val="center"/>
          </w:tcPr>
          <w:p>
            <w:pPr>
              <w:rPr>
                <w:rFonts w:ascii="仿宋" w:hAnsi="仿宋" w:eastAsia="仿宋" w:cs="宋体"/>
                <w:kern w:val="0"/>
                <w:sz w:val="24"/>
              </w:rPr>
            </w:pPr>
            <w:r>
              <w:rPr>
                <w:rFonts w:hint="eastAsia" w:ascii="仿宋" w:hAnsi="仿宋" w:eastAsia="仿宋" w:cs="宋体"/>
                <w:kern w:val="0"/>
                <w:sz w:val="24"/>
              </w:rPr>
              <w:t>1、评标委员会根据提供的类似项目合同业绩（2018年-磋商文件截止日）进行综合评定，每有一个类似项目业绩得4分，最多得20分。（提供合同或中标（成交）通知书复印件）</w:t>
            </w:r>
          </w:p>
          <w:p>
            <w:r>
              <w:rPr>
                <w:rFonts w:hint="eastAsia" w:ascii="仿宋" w:hAnsi="仿宋" w:eastAsia="仿宋" w:cs="宋体"/>
                <w:kern w:val="0"/>
                <w:sz w:val="24"/>
              </w:rPr>
              <w:t>2、供应商提供的业绩中具有1份协助进行三级信息系统安全等级保护备案证明备案材料的得1分，最多得5分；若备案证明备案材料为三级公立医院的，每一份再额外获得1分。本项满分10分。（提供证明材料复印件和对应医院网站合同复印件并加盖供应商公章。）</w:t>
            </w:r>
          </w:p>
        </w:tc>
        <w:tc>
          <w:tcPr>
            <w:tcW w:w="0" w:type="auto"/>
            <w:vAlign w:val="center"/>
          </w:tcPr>
          <w:p>
            <w:pPr>
              <w:rPr>
                <w:rFonts w:ascii="仿宋" w:hAnsi="仿宋" w:eastAsia="仿宋" w:cs="宋体"/>
                <w:kern w:val="0"/>
                <w:sz w:val="24"/>
              </w:rPr>
            </w:pPr>
            <w:r>
              <w:rPr>
                <w:rFonts w:hint="eastAsia" w:ascii="仿宋" w:hAnsi="仿宋" w:eastAsia="仿宋" w:cs="宋体"/>
                <w:kern w:val="0"/>
                <w:sz w:val="24"/>
              </w:rPr>
              <w:t>若提供复印件则须加盖供应商公章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4</w:t>
            </w:r>
          </w:p>
        </w:tc>
        <w:tc>
          <w:tcPr>
            <w:tcW w:w="1240" w:type="dxa"/>
            <w:vAlign w:val="center"/>
          </w:tcPr>
          <w:p>
            <w:pPr>
              <w:rPr>
                <w:rFonts w:ascii="仿宋" w:hAnsi="仿宋" w:eastAsia="仿宋" w:cs="宋体"/>
                <w:kern w:val="0"/>
                <w:sz w:val="24"/>
              </w:rPr>
            </w:pPr>
            <w:r>
              <w:rPr>
                <w:rFonts w:hint="eastAsia" w:ascii="仿宋" w:hAnsi="仿宋" w:eastAsia="仿宋" w:cs="宋体"/>
                <w:kern w:val="0"/>
                <w:sz w:val="24"/>
              </w:rPr>
              <w:t>安全保障</w:t>
            </w:r>
            <w:r>
              <w:rPr>
                <w:rFonts w:ascii="仿宋" w:hAnsi="仿宋" w:eastAsia="仿宋" w:cs="宋体"/>
                <w:kern w:val="0"/>
                <w:sz w:val="24"/>
              </w:rPr>
              <w:t>9</w:t>
            </w:r>
            <w:r>
              <w:rPr>
                <w:rFonts w:hint="eastAsia" w:ascii="仿宋" w:hAnsi="仿宋" w:eastAsia="仿宋" w:cs="宋体"/>
                <w:kern w:val="0"/>
                <w:sz w:val="24"/>
              </w:rPr>
              <w:t>%</w:t>
            </w:r>
          </w:p>
        </w:tc>
        <w:tc>
          <w:tcPr>
            <w:tcW w:w="563" w:type="dxa"/>
            <w:vAlign w:val="center"/>
          </w:tcPr>
          <w:p>
            <w:pPr>
              <w:jc w:val="center"/>
              <w:rPr>
                <w:rFonts w:ascii="仿宋" w:hAnsi="仿宋" w:eastAsia="仿宋" w:cs="宋体"/>
                <w:kern w:val="0"/>
                <w:sz w:val="24"/>
              </w:rPr>
            </w:pPr>
            <w:r>
              <w:rPr>
                <w:rFonts w:hint="eastAsia" w:ascii="仿宋" w:hAnsi="仿宋" w:eastAsia="仿宋" w:cs="宋体"/>
                <w:kern w:val="0"/>
                <w:sz w:val="24"/>
                <w:lang w:val="en-US" w:eastAsia="zh-CN"/>
              </w:rPr>
              <w:t>9</w:t>
            </w:r>
            <w:r>
              <w:rPr>
                <w:rFonts w:hint="eastAsia" w:ascii="仿宋" w:hAnsi="仿宋" w:eastAsia="仿宋" w:cs="宋体"/>
                <w:kern w:val="0"/>
                <w:sz w:val="24"/>
              </w:rPr>
              <w:t>分</w:t>
            </w:r>
          </w:p>
        </w:tc>
        <w:tc>
          <w:tcPr>
            <w:tcW w:w="0" w:type="auto"/>
            <w:vAlign w:val="center"/>
          </w:tcPr>
          <w:p>
            <w:pPr>
              <w:rPr>
                <w:rFonts w:ascii="仿宋" w:hAnsi="仿宋" w:eastAsia="仿宋" w:cs="宋体"/>
                <w:kern w:val="0"/>
                <w:sz w:val="24"/>
              </w:rPr>
            </w:pPr>
            <w:r>
              <w:rPr>
                <w:rFonts w:hint="eastAsia" w:ascii="仿宋" w:hAnsi="仿宋" w:eastAsia="仿宋" w:cs="宋体"/>
                <w:kern w:val="0"/>
                <w:sz w:val="24"/>
              </w:rPr>
              <w:t>1、供应商提供有效期内的ISO9001质量管理体系认证证书得2分，不提供不得分；（提供证书复印件并加盖供应商公章。）</w:t>
            </w:r>
          </w:p>
          <w:p>
            <w:pPr>
              <w:rPr>
                <w:rFonts w:ascii="仿宋" w:hAnsi="仿宋" w:eastAsia="仿宋" w:cs="宋体"/>
                <w:kern w:val="0"/>
                <w:sz w:val="24"/>
              </w:rPr>
            </w:pPr>
            <w:r>
              <w:rPr>
                <w:rFonts w:hint="eastAsia" w:ascii="仿宋" w:hAnsi="仿宋" w:eastAsia="仿宋" w:cs="宋体"/>
                <w:kern w:val="0"/>
                <w:sz w:val="24"/>
              </w:rPr>
              <w:t>2、供应商提供信息技术服务管理体系认证证书ISO2000得2分；（提供证书复印件并加盖供应商公章。）</w:t>
            </w:r>
          </w:p>
          <w:p>
            <w:pPr>
              <w:rPr>
                <w:rFonts w:ascii="仿宋" w:hAnsi="仿宋" w:eastAsia="仿宋" w:cs="宋体"/>
                <w:kern w:val="0"/>
                <w:sz w:val="24"/>
              </w:rPr>
            </w:pPr>
            <w:r>
              <w:rPr>
                <w:rFonts w:hint="eastAsia" w:ascii="仿宋" w:hAnsi="仿宋" w:eastAsia="仿宋" w:cs="宋体"/>
                <w:kern w:val="0"/>
                <w:sz w:val="24"/>
              </w:rPr>
              <w:t>3、供应商提供包含“医疗卫生信息化软件”的信息安全管理体系认证证书ISO27001得2.5分；（提供证书复印件并加盖供应商公章。）</w:t>
            </w:r>
          </w:p>
          <w:p>
            <w:pPr>
              <w:rPr>
                <w:rFonts w:hint="eastAsia" w:ascii="仿宋" w:hAnsi="仿宋" w:eastAsia="仿宋" w:cs="宋体"/>
                <w:kern w:val="0"/>
                <w:sz w:val="24"/>
              </w:rPr>
            </w:pPr>
            <w:r>
              <w:rPr>
                <w:rFonts w:hint="eastAsia" w:ascii="仿宋" w:hAnsi="仿宋" w:eastAsia="仿宋" w:cs="宋体"/>
                <w:kern w:val="0"/>
                <w:sz w:val="24"/>
              </w:rPr>
              <w:t>4、供应商获得“医院门户网站管理系统”的软件产品认证，提供有效期内的软件产品证书2.5分，不提供不得分；（提供证书复印件并加盖供应商公章。）</w:t>
            </w:r>
          </w:p>
        </w:tc>
        <w:tc>
          <w:tcPr>
            <w:tcW w:w="0" w:type="auto"/>
            <w:vAlign w:val="center"/>
          </w:tcPr>
          <w:p>
            <w:pPr>
              <w:rPr>
                <w:rFonts w:ascii="仿宋" w:hAnsi="仿宋" w:eastAsia="仿宋" w:cs="宋体"/>
                <w:kern w:val="0"/>
                <w:sz w:val="24"/>
              </w:rPr>
            </w:pPr>
            <w:r>
              <w:rPr>
                <w:rFonts w:hint="eastAsia" w:ascii="仿宋" w:hAnsi="仿宋" w:eastAsia="仿宋" w:cs="宋体"/>
                <w:kern w:val="0"/>
                <w:sz w:val="24"/>
              </w:rPr>
              <w:t>若提供复印件则须加盖供应商公章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5</w:t>
            </w:r>
          </w:p>
        </w:tc>
        <w:tc>
          <w:tcPr>
            <w:tcW w:w="1240" w:type="dxa"/>
            <w:vAlign w:val="center"/>
          </w:tcPr>
          <w:p>
            <w:pPr>
              <w:jc w:val="center"/>
              <w:rPr>
                <w:rFonts w:ascii="仿宋" w:hAnsi="仿宋" w:eastAsia="仿宋" w:cs="宋体"/>
                <w:kern w:val="0"/>
                <w:sz w:val="24"/>
              </w:rPr>
            </w:pPr>
            <w:r>
              <w:rPr>
                <w:rFonts w:hint="eastAsia" w:ascii="仿宋" w:hAnsi="仿宋" w:eastAsia="仿宋" w:cs="宋体"/>
                <w:kern w:val="0"/>
                <w:sz w:val="24"/>
              </w:rPr>
              <w:t>售后服务3%</w:t>
            </w:r>
          </w:p>
        </w:tc>
        <w:tc>
          <w:tcPr>
            <w:tcW w:w="563" w:type="dxa"/>
            <w:vAlign w:val="center"/>
          </w:tcPr>
          <w:p>
            <w:pPr>
              <w:jc w:val="center"/>
              <w:rPr>
                <w:rFonts w:ascii="仿宋" w:hAnsi="仿宋" w:eastAsia="仿宋" w:cs="宋体"/>
                <w:kern w:val="0"/>
                <w:sz w:val="24"/>
              </w:rPr>
            </w:pPr>
            <w:r>
              <w:rPr>
                <w:rFonts w:hint="eastAsia" w:ascii="仿宋" w:hAnsi="仿宋" w:eastAsia="仿宋" w:cs="宋体"/>
                <w:kern w:val="0"/>
                <w:sz w:val="24"/>
              </w:rPr>
              <w:t>3分</w:t>
            </w:r>
          </w:p>
        </w:tc>
        <w:tc>
          <w:tcPr>
            <w:tcW w:w="0" w:type="auto"/>
            <w:vAlign w:val="center"/>
          </w:tcPr>
          <w:p>
            <w:pPr>
              <w:kinsoku w:val="0"/>
              <w:overflowPunct w:val="0"/>
              <w:autoSpaceDE w:val="0"/>
              <w:autoSpaceDN w:val="0"/>
              <w:adjustRightInd w:val="0"/>
              <w:snapToGrid w:val="0"/>
              <w:ind w:right="-53" w:rightChars="-25"/>
              <w:jc w:val="left"/>
              <w:rPr>
                <w:rFonts w:ascii="仿宋" w:hAnsi="仿宋" w:eastAsia="仿宋" w:cs="宋体"/>
                <w:kern w:val="0"/>
                <w:sz w:val="24"/>
              </w:rPr>
            </w:pPr>
            <w:r>
              <w:rPr>
                <w:rFonts w:hint="eastAsia" w:ascii="仿宋" w:hAnsi="仿宋" w:eastAsia="仿宋" w:cs="宋体"/>
                <w:kern w:val="0"/>
                <w:sz w:val="24"/>
              </w:rPr>
              <w:t>根据供应商提供的售后服务方案进行评审，包含但不限于供应商提供①售后服务方式，②响应时间，③故障处理时间、满足院方要求、符合行业特征或实际情况得3分，任意一项内容缺失或不满足上述要求扣1分。</w:t>
            </w:r>
          </w:p>
        </w:tc>
        <w:tc>
          <w:tcPr>
            <w:tcW w:w="0" w:type="auto"/>
            <w:vAlign w:val="center"/>
          </w:tcPr>
          <w:p>
            <w:pPr>
              <w:rPr>
                <w:rFonts w:ascii="仿宋" w:hAnsi="仿宋" w:eastAsia="仿宋" w:cs="宋体"/>
                <w:kern w:val="0"/>
                <w:sz w:val="24"/>
              </w:rPr>
            </w:pPr>
            <w:r>
              <w:rPr>
                <w:rFonts w:hint="eastAsia" w:ascii="仿宋" w:hAnsi="仿宋" w:eastAsia="仿宋"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6</w:t>
            </w:r>
          </w:p>
        </w:tc>
        <w:tc>
          <w:tcPr>
            <w:tcW w:w="1240" w:type="dxa"/>
            <w:vAlign w:val="center"/>
          </w:tcPr>
          <w:p>
            <w:pPr>
              <w:jc w:val="center"/>
              <w:rPr>
                <w:rFonts w:ascii="仿宋" w:hAnsi="仿宋" w:eastAsia="仿宋" w:cs="宋体"/>
                <w:kern w:val="0"/>
                <w:sz w:val="24"/>
              </w:rPr>
            </w:pPr>
            <w:r>
              <w:rPr>
                <w:rFonts w:hint="eastAsia" w:ascii="仿宋" w:hAnsi="仿宋" w:eastAsia="仿宋" w:cs="宋体"/>
                <w:kern w:val="0"/>
                <w:sz w:val="24"/>
              </w:rPr>
              <w:t>本地服务7%</w:t>
            </w:r>
          </w:p>
        </w:tc>
        <w:tc>
          <w:tcPr>
            <w:tcW w:w="563" w:type="dxa"/>
            <w:vAlign w:val="center"/>
          </w:tcPr>
          <w:p>
            <w:pPr>
              <w:jc w:val="center"/>
              <w:rPr>
                <w:rFonts w:ascii="仿宋" w:hAnsi="仿宋" w:eastAsia="仿宋" w:cs="宋体"/>
                <w:kern w:val="0"/>
                <w:sz w:val="24"/>
              </w:rPr>
            </w:pPr>
            <w:r>
              <w:rPr>
                <w:rFonts w:hint="eastAsia" w:ascii="仿宋" w:hAnsi="仿宋" w:eastAsia="仿宋" w:cs="宋体"/>
                <w:kern w:val="0"/>
                <w:sz w:val="24"/>
              </w:rPr>
              <w:t>7分</w:t>
            </w:r>
          </w:p>
        </w:tc>
        <w:tc>
          <w:tcPr>
            <w:tcW w:w="0" w:type="auto"/>
            <w:vAlign w:val="center"/>
          </w:tcPr>
          <w:p>
            <w:pPr>
              <w:kinsoku w:val="0"/>
              <w:overflowPunct w:val="0"/>
              <w:autoSpaceDE w:val="0"/>
              <w:autoSpaceDN w:val="0"/>
              <w:adjustRightInd w:val="0"/>
              <w:snapToGrid w:val="0"/>
              <w:ind w:right="-53" w:rightChars="-25"/>
              <w:jc w:val="left"/>
              <w:rPr>
                <w:rFonts w:ascii="仿宋" w:hAnsi="仿宋" w:eastAsia="仿宋" w:cs="宋体"/>
                <w:kern w:val="0"/>
                <w:sz w:val="24"/>
              </w:rPr>
            </w:pPr>
            <w:r>
              <w:rPr>
                <w:rFonts w:hint="eastAsia" w:ascii="仿宋" w:hAnsi="仿宋" w:eastAsia="仿宋" w:cs="宋体"/>
                <w:kern w:val="0"/>
                <w:sz w:val="24"/>
              </w:rPr>
              <w:t>供应商若在成都有注册的服务机构（或以承诺函的形式承诺成交后在当地成立相关机构），且常驻售后服务人员不得少于5人，须提供机构人员5人以上不少于6个月在职证明材料，提供成都社保和公积金缴费证明得7分，少提供1人扣1.4分。</w:t>
            </w:r>
          </w:p>
        </w:tc>
        <w:tc>
          <w:tcPr>
            <w:tcW w:w="0" w:type="auto"/>
            <w:vAlign w:val="center"/>
          </w:tcPr>
          <w:p>
            <w:pPr>
              <w:rPr>
                <w:rFonts w:ascii="仿宋" w:hAnsi="仿宋" w:eastAsia="仿宋" w:cs="宋体"/>
                <w:kern w:val="0"/>
                <w:sz w:val="24"/>
              </w:rPr>
            </w:pPr>
            <w:r>
              <w:rPr>
                <w:rFonts w:hint="eastAsia" w:ascii="仿宋" w:hAnsi="仿宋" w:eastAsia="仿宋"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7</w:t>
            </w:r>
          </w:p>
        </w:tc>
        <w:tc>
          <w:tcPr>
            <w:tcW w:w="1240" w:type="dxa"/>
            <w:vAlign w:val="center"/>
          </w:tcPr>
          <w:p>
            <w:pPr>
              <w:jc w:val="center"/>
              <w:rPr>
                <w:rFonts w:ascii="仿宋" w:hAnsi="仿宋" w:eastAsia="仿宋" w:cs="宋体"/>
                <w:kern w:val="0"/>
                <w:sz w:val="24"/>
              </w:rPr>
            </w:pPr>
            <w:r>
              <w:rPr>
                <w:rFonts w:hint="eastAsia" w:ascii="仿宋" w:hAnsi="仿宋" w:eastAsia="仿宋" w:cs="宋体"/>
                <w:kern w:val="0"/>
                <w:sz w:val="24"/>
              </w:rPr>
              <w:t>规范性、完整性1%</w:t>
            </w:r>
          </w:p>
        </w:tc>
        <w:tc>
          <w:tcPr>
            <w:tcW w:w="563" w:type="dxa"/>
            <w:vAlign w:val="center"/>
          </w:tcPr>
          <w:p>
            <w:pPr>
              <w:jc w:val="center"/>
              <w:rPr>
                <w:rFonts w:ascii="仿宋" w:hAnsi="仿宋" w:eastAsia="仿宋" w:cs="宋体"/>
                <w:kern w:val="0"/>
                <w:sz w:val="24"/>
              </w:rPr>
            </w:pPr>
            <w:r>
              <w:rPr>
                <w:rFonts w:hint="eastAsia" w:ascii="仿宋" w:hAnsi="仿宋" w:eastAsia="仿宋" w:cs="宋体"/>
                <w:kern w:val="0"/>
                <w:sz w:val="24"/>
              </w:rPr>
              <w:t>1分</w:t>
            </w:r>
          </w:p>
        </w:tc>
        <w:tc>
          <w:tcPr>
            <w:tcW w:w="0" w:type="auto"/>
            <w:vAlign w:val="center"/>
          </w:tcPr>
          <w:p>
            <w:pPr>
              <w:kinsoku w:val="0"/>
              <w:overflowPunct w:val="0"/>
              <w:autoSpaceDE w:val="0"/>
              <w:autoSpaceDN w:val="0"/>
              <w:adjustRightInd w:val="0"/>
              <w:snapToGrid w:val="0"/>
              <w:ind w:right="-53" w:rightChars="-25"/>
              <w:jc w:val="left"/>
              <w:rPr>
                <w:rFonts w:ascii="仿宋" w:hAnsi="仿宋" w:eastAsia="仿宋" w:cs="宋体"/>
                <w:kern w:val="0"/>
                <w:sz w:val="24"/>
              </w:rPr>
            </w:pPr>
            <w:r>
              <w:rPr>
                <w:rFonts w:hint="eastAsia" w:ascii="仿宋" w:hAnsi="仿宋" w:eastAsia="仿宋" w:cs="宋体"/>
                <w:kern w:val="0"/>
                <w:sz w:val="24"/>
              </w:rPr>
              <w:t>响应文件制作规范，没有细微偏差情形的得1分；有一项细微偏差扣0.5分，直至该项分值扣完为止。</w:t>
            </w:r>
          </w:p>
        </w:tc>
        <w:tc>
          <w:tcPr>
            <w:tcW w:w="0" w:type="auto"/>
            <w:vAlign w:val="center"/>
          </w:tcPr>
          <w:p>
            <w:pPr>
              <w:rPr>
                <w:rFonts w:ascii="仿宋" w:hAnsi="仿宋" w:eastAsia="仿宋" w:cs="宋体"/>
                <w:kern w:val="0"/>
                <w:sz w:val="24"/>
              </w:rPr>
            </w:pPr>
            <w:r>
              <w:rPr>
                <w:rFonts w:hint="eastAsia" w:ascii="仿宋" w:hAnsi="仿宋" w:eastAsia="仿宋" w:cs="宋体"/>
                <w:kern w:val="0"/>
                <w:sz w:val="24"/>
              </w:rPr>
              <w:t>/</w:t>
            </w:r>
          </w:p>
        </w:tc>
      </w:tr>
    </w:tbl>
    <w:p>
      <w:pPr>
        <w:pStyle w:val="2"/>
      </w:pPr>
    </w:p>
    <w:p>
      <w:pPr>
        <w:widowControl/>
        <w:shd w:val="clear" w:color="auto" w:fill="FFFFFF"/>
        <w:wordWrap w:val="0"/>
        <w:jc w:val="left"/>
        <w:rPr>
          <w:rFonts w:cs="Segoe UI" w:asciiTheme="majorEastAsia" w:hAnsiTheme="majorEastAsia" w:eastAsiaTheme="majorEastAsia"/>
          <w:b/>
          <w:bCs/>
          <w:color w:val="333333"/>
          <w:kern w:val="0"/>
          <w:sz w:val="28"/>
          <w:szCs w:val="28"/>
        </w:rPr>
      </w:pP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ascii="黑体" w:hAnsi="宋体" w:eastAsia="黑体"/>
          <w:bCs/>
          <w:sz w:val="32"/>
          <w:szCs w:val="32"/>
        </w:rPr>
      </w:pPr>
      <w:r>
        <w:rPr>
          <w:rFonts w:hint="eastAsia" w:ascii="微软雅黑" w:hAnsi="微软雅黑" w:eastAsia="微软雅黑"/>
          <w:b/>
          <w:color w:val="000000"/>
          <w:sz w:val="28"/>
          <w:szCs w:val="21"/>
        </w:rPr>
        <w:t>附件2：</w:t>
      </w:r>
    </w:p>
    <w:p>
      <w:pPr>
        <w:spacing w:line="0" w:lineRule="atLeast"/>
        <w:jc w:val="center"/>
        <w:rPr>
          <w:rFonts w:ascii="微软雅黑" w:hAnsi="微软雅黑" w:eastAsia="微软雅黑"/>
          <w:b/>
          <w:bCs/>
          <w:sz w:val="32"/>
          <w:szCs w:val="32"/>
        </w:rPr>
      </w:pPr>
      <w:r>
        <w:rPr>
          <w:rFonts w:hint="eastAsia" w:ascii="微软雅黑" w:hAnsi="微软雅黑" w:eastAsia="微软雅黑"/>
          <w:b/>
          <w:bCs/>
          <w:sz w:val="32"/>
          <w:szCs w:val="32"/>
        </w:rPr>
        <w:t>采购文件书装订顺序</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1、封面（公司、项目、联系人、联系方式）</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2、目录</w:t>
      </w:r>
    </w:p>
    <w:p>
      <w:pPr>
        <w:tabs>
          <w:tab w:val="left" w:pos="0"/>
        </w:tabs>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3、品目及报价表（格式见附件1）</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4、规格型号、配置及偏离表（格式见附件3）</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5、企业营业执照（复印件）</w:t>
      </w:r>
    </w:p>
    <w:p>
      <w:pPr>
        <w:spacing w:line="0"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6、</w:t>
      </w:r>
      <w:r>
        <w:rPr>
          <w:rFonts w:hint="eastAsia" w:ascii="微软雅黑" w:hAnsi="微软雅黑" w:eastAsia="微软雅黑"/>
          <w:sz w:val="24"/>
          <w:szCs w:val="24"/>
        </w:rPr>
        <w:t>组织机构代码证、税务登记证（复印件）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7、法定代表人授权书（原件，格式见附件3）暨经办人授权书，法人、经办人身份证（复印件）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8、生产厂家授权书（投标人不是生产厂家的）</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9、</w:t>
      </w:r>
      <w:r>
        <w:rPr>
          <w:rFonts w:hint="eastAsia" w:ascii="微软雅黑" w:hAnsi="微软雅黑" w:eastAsia="微软雅黑"/>
          <w:bCs/>
          <w:sz w:val="24"/>
          <w:szCs w:val="24"/>
        </w:rPr>
        <w:t>如有</w:t>
      </w:r>
      <w:r>
        <w:rPr>
          <w:rFonts w:hint="eastAsia" w:ascii="微软雅黑" w:hAnsi="微软雅黑" w:eastAsia="微软雅黑"/>
          <w:sz w:val="24"/>
          <w:szCs w:val="24"/>
        </w:rPr>
        <w:t>产品质量和企业管理体系认证（考核），请提供的有效证明文件的复印或扫描件，质量管理体系认证包括FDA、CE、ISO等认证（提供中文翻译复印件）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10、质量检测中心或法定机构出具的产品检测报告，性能自测报告，出厂检验报告的复印或扫描件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11、如有其他证书：产品在技术、节能、安全、环保和自主创新方面获得的认证证书或制造厂家和产品所获国家级荣誉称号等复印或扫描件</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bCs/>
          <w:sz w:val="24"/>
          <w:szCs w:val="24"/>
        </w:rPr>
        <w:t>12、</w:t>
      </w:r>
      <w:r>
        <w:rPr>
          <w:rFonts w:hint="eastAsia" w:ascii="微软雅黑" w:hAnsi="微软雅黑" w:eastAsia="微软雅黑"/>
          <w:sz w:val="24"/>
          <w:szCs w:val="24"/>
        </w:rPr>
        <w:t>产品执行标准（提供产品注册标准：YZB等资料供评审）</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13、</w:t>
      </w:r>
      <w:r>
        <w:rPr>
          <w:rFonts w:hint="eastAsia" w:ascii="微软雅黑" w:hAnsi="微软雅黑" w:eastAsia="微软雅黑"/>
          <w:bCs/>
          <w:sz w:val="24"/>
          <w:szCs w:val="24"/>
        </w:rPr>
        <w:t>产品质量及货源保证书</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14、</w:t>
      </w:r>
      <w:r>
        <w:rPr>
          <w:rFonts w:hint="eastAsia" w:ascii="微软雅黑" w:hAnsi="微软雅黑" w:eastAsia="微软雅黑"/>
          <w:bCs/>
          <w:spacing w:val="8"/>
          <w:sz w:val="24"/>
          <w:szCs w:val="24"/>
        </w:rPr>
        <w:t>售后</w:t>
      </w:r>
      <w:r>
        <w:rPr>
          <w:rFonts w:hint="eastAsia" w:ascii="微软雅黑" w:hAnsi="微软雅黑" w:eastAsia="微软雅黑"/>
          <w:bCs/>
          <w:sz w:val="24"/>
          <w:szCs w:val="24"/>
        </w:rPr>
        <w:t>服务承诺书</w:t>
      </w:r>
    </w:p>
    <w:p>
      <w:pPr>
        <w:spacing w:line="0" w:lineRule="atLeast"/>
        <w:ind w:firstLine="480" w:firstLineChars="200"/>
        <w:rPr>
          <w:rFonts w:ascii="微软雅黑" w:hAnsi="微软雅黑" w:eastAsia="微软雅黑"/>
          <w:sz w:val="24"/>
          <w:szCs w:val="24"/>
        </w:rPr>
      </w:pPr>
      <w:r>
        <w:rPr>
          <w:rFonts w:hint="eastAsia" w:ascii="微软雅黑" w:hAnsi="微软雅黑" w:eastAsia="微软雅黑"/>
          <w:sz w:val="24"/>
          <w:szCs w:val="24"/>
        </w:rPr>
        <w:t>15、</w:t>
      </w:r>
      <w:r>
        <w:rPr>
          <w:rFonts w:hint="eastAsia" w:ascii="微软雅黑" w:hAnsi="微软雅黑" w:eastAsia="微软雅黑"/>
          <w:bCs/>
          <w:spacing w:val="8"/>
          <w:sz w:val="24"/>
          <w:szCs w:val="24"/>
        </w:rPr>
        <w:t>如有，提供进口原材料证明书或产品报关资料等</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16、产品说明书或</w:t>
      </w:r>
      <w:r>
        <w:rPr>
          <w:rFonts w:hint="eastAsia" w:ascii="微软雅黑" w:hAnsi="微软雅黑" w:eastAsia="微软雅黑"/>
          <w:sz w:val="24"/>
          <w:szCs w:val="24"/>
        </w:rPr>
        <w:t>与投标产品型号一致的产品彩页资料和其他有关介绍资料。业绩证明文件（近三年用户名单及联系人与联系方式及合同复印件或近三个月内送货复印件，格式见附件3）。</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17、</w:t>
      </w:r>
      <w:r>
        <w:rPr>
          <w:rFonts w:hint="eastAsia" w:ascii="微软雅黑" w:hAnsi="微软雅黑" w:eastAsia="微软雅黑"/>
          <w:bCs/>
          <w:sz w:val="24"/>
          <w:szCs w:val="24"/>
        </w:rPr>
        <w:t>如有物流公司配送，请提供</w:t>
      </w:r>
      <w:r>
        <w:rPr>
          <w:rFonts w:hint="eastAsia" w:ascii="微软雅黑" w:hAnsi="微软雅黑" w:eastAsia="微软雅黑"/>
          <w:sz w:val="24"/>
          <w:szCs w:val="24"/>
        </w:rPr>
        <w:t>配送证明材料：配送商基本情况、配送商营业执照复印件、配送商经营许可证复印件</w:t>
      </w:r>
    </w:p>
    <w:p>
      <w:pPr>
        <w:spacing w:line="0" w:lineRule="atLeast"/>
        <w:ind w:firstLine="512" w:firstLineChars="200"/>
        <w:rPr>
          <w:rFonts w:ascii="微软雅黑" w:hAnsi="微软雅黑" w:eastAsia="微软雅黑"/>
          <w:bCs/>
          <w:spacing w:val="8"/>
          <w:sz w:val="24"/>
          <w:szCs w:val="24"/>
        </w:rPr>
      </w:pPr>
      <w:r>
        <w:rPr>
          <w:rFonts w:hint="eastAsia" w:ascii="微软雅黑" w:hAnsi="微软雅黑" w:eastAsia="微软雅黑"/>
          <w:bCs/>
          <w:spacing w:val="8"/>
          <w:sz w:val="24"/>
          <w:szCs w:val="24"/>
        </w:rPr>
        <w:t>18、</w:t>
      </w:r>
      <w:r>
        <w:rPr>
          <w:rFonts w:hint="eastAsia" w:ascii="微软雅黑" w:hAnsi="微软雅黑" w:eastAsia="微软雅黑"/>
          <w:sz w:val="24"/>
          <w:szCs w:val="24"/>
        </w:rPr>
        <w:t>如有，国家规定的其它相关资质证明文件或其它涉及特许经营许可的须提供相关证书。如：卫生许可证、药品经营许可证、生产批件或新药证书等；</w:t>
      </w:r>
    </w:p>
    <w:p>
      <w:pPr>
        <w:spacing w:line="0" w:lineRule="atLeast"/>
        <w:ind w:firstLine="512" w:firstLineChars="200"/>
        <w:rPr>
          <w:rFonts w:ascii="微软雅黑" w:hAnsi="微软雅黑" w:eastAsia="微软雅黑"/>
          <w:sz w:val="24"/>
          <w:szCs w:val="24"/>
        </w:rPr>
      </w:pPr>
      <w:r>
        <w:rPr>
          <w:rFonts w:hint="eastAsia" w:ascii="微软雅黑" w:hAnsi="微软雅黑" w:eastAsia="微软雅黑"/>
          <w:bCs/>
          <w:spacing w:val="8"/>
          <w:sz w:val="24"/>
          <w:szCs w:val="24"/>
        </w:rPr>
        <w:t>19、封底</w:t>
      </w:r>
    </w:p>
    <w:p>
      <w:pPr>
        <w:tabs>
          <w:tab w:val="left" w:pos="0"/>
        </w:tabs>
        <w:spacing w:line="0" w:lineRule="atLeast"/>
        <w:ind w:firstLine="480" w:firstLineChars="200"/>
        <w:rPr>
          <w:rFonts w:ascii="微软雅黑" w:hAnsi="微软雅黑" w:eastAsia="微软雅黑"/>
          <w:bCs/>
          <w:sz w:val="24"/>
          <w:szCs w:val="24"/>
        </w:rPr>
      </w:pPr>
    </w:p>
    <w:p>
      <w:pPr>
        <w:spacing w:line="0" w:lineRule="atLeast"/>
        <w:rPr>
          <w:rFonts w:ascii="微软雅黑" w:hAnsi="微软雅黑" w:eastAsia="微软雅黑"/>
          <w:b/>
          <w:sz w:val="24"/>
          <w:szCs w:val="24"/>
        </w:rPr>
      </w:pPr>
      <w:r>
        <w:rPr>
          <w:rFonts w:hint="eastAsia" w:ascii="微软雅黑" w:hAnsi="微软雅黑" w:eastAsia="微软雅黑"/>
          <w:b/>
          <w:bCs/>
          <w:sz w:val="24"/>
          <w:szCs w:val="24"/>
        </w:rPr>
        <w:t>注：请务必按以上顺序装订资料，如有非中文资料，请同时提供中文翻译件。</w:t>
      </w:r>
    </w:p>
    <w:p>
      <w:pPr>
        <w:rPr>
          <w:rFonts w:ascii="仿宋_GB2312" w:hAnsi="宋体" w:eastAsia="仿宋_GB2312"/>
          <w:b/>
          <w:sz w:val="24"/>
        </w:rPr>
      </w:pPr>
    </w:p>
    <w:p>
      <w:pPr>
        <w:rPr>
          <w:rFonts w:ascii="仿宋_GB2312" w:hAnsi="宋体" w:eastAsia="仿宋_GB2312"/>
          <w:b/>
          <w:sz w:val="24"/>
        </w:rPr>
      </w:pPr>
    </w:p>
    <w:p>
      <w:pPr>
        <w:rPr>
          <w:rFonts w:ascii="微软雅黑" w:hAnsi="微软雅黑" w:eastAsia="微软雅黑"/>
          <w:sz w:val="32"/>
          <w:szCs w:val="32"/>
        </w:rPr>
      </w:pPr>
      <w:r>
        <w:rPr>
          <w:rFonts w:hint="eastAsia" w:ascii="微软雅黑" w:hAnsi="微软雅黑" w:eastAsia="微软雅黑"/>
          <w:sz w:val="32"/>
          <w:szCs w:val="32"/>
        </w:rPr>
        <w:t>附件3：</w:t>
      </w:r>
    </w:p>
    <w:p>
      <w:pPr>
        <w:adjustRightInd w:val="0"/>
        <w:spacing w:line="400" w:lineRule="exact"/>
        <w:jc w:val="center"/>
        <w:rPr>
          <w:rFonts w:ascii="微软雅黑" w:hAnsi="微软雅黑" w:eastAsia="微软雅黑"/>
          <w:b/>
          <w:sz w:val="24"/>
        </w:rPr>
      </w:pPr>
      <w:r>
        <w:rPr>
          <w:rFonts w:hint="eastAsia" w:ascii="微软雅黑" w:hAnsi="微软雅黑" w:eastAsia="微软雅黑"/>
          <w:sz w:val="32"/>
          <w:szCs w:val="32"/>
        </w:rPr>
        <w:t>报价一览表</w:t>
      </w:r>
    </w:p>
    <w:tbl>
      <w:tblPr>
        <w:tblStyle w:val="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项目名称</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宋体-方正超大字符集"/>
                <w:sz w:val="24"/>
              </w:rPr>
            </w:pPr>
            <w:r>
              <w:rPr>
                <w:rFonts w:hint="eastAsia" w:ascii="微软雅黑" w:hAnsi="微软雅黑" w:eastAsia="微软雅黑" w:cs="宋体-方正超大字符集"/>
                <w:sz w:val="24"/>
              </w:rPr>
              <w:t>单价（万元）</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cs="Times New Roman"/>
                <w:sz w:val="24"/>
              </w:rPr>
            </w:pPr>
            <w:r>
              <w:rPr>
                <w:rFonts w:hint="eastAsia" w:ascii="微软雅黑" w:hAnsi="微软雅黑" w:eastAsia="微软雅黑"/>
                <w:sz w:val="24"/>
              </w:rPr>
              <w:t>金额（万元）</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b/>
                <w:sz w:val="24"/>
              </w:rPr>
            </w:pPr>
            <w:r>
              <w:rPr>
                <w:rFonts w:hint="eastAsia" w:ascii="微软雅黑" w:hAnsi="微软雅黑" w:eastAsia="微软雅黑"/>
                <w:b/>
                <w:sz w:val="24"/>
              </w:rPr>
              <w:t>合计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p>
        </w:tc>
      </w:tr>
    </w:tbl>
    <w:p>
      <w:pPr>
        <w:spacing w:line="400" w:lineRule="exact"/>
        <w:ind w:firstLine="480"/>
        <w:jc w:val="left"/>
        <w:rPr>
          <w:rFonts w:ascii="微软雅黑" w:hAnsi="微软雅黑" w:eastAsia="微软雅黑" w:cs="Times New Roman"/>
          <w:sz w:val="24"/>
        </w:rPr>
      </w:pPr>
      <w:r>
        <w:rPr>
          <w:rFonts w:hint="eastAsia" w:ascii="微软雅黑" w:hAnsi="微软雅黑" w:eastAsia="微软雅黑"/>
          <w:sz w:val="24"/>
        </w:rPr>
        <w:t xml:space="preserve">注：1. 报价应是最终用户验收合格后的总价，包括设备运输、保险、代理、安装调试、培训、税费、系统集成费用和采购文件规定的其它费用。 </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2.其它服务：请供应商根据“网络设备维护要求”内容或公司提供的服务内容分项进行填写，并说明各项服务的名称、服务内容及价格。</w:t>
      </w:r>
    </w:p>
    <w:p>
      <w:pPr>
        <w:spacing w:line="400" w:lineRule="exact"/>
        <w:jc w:val="left"/>
        <w:rPr>
          <w:rFonts w:ascii="微软雅黑" w:hAnsi="微软雅黑" w:eastAsia="微软雅黑"/>
          <w:sz w:val="24"/>
        </w:rPr>
      </w:pPr>
      <w:r>
        <w:rPr>
          <w:rFonts w:hint="eastAsia" w:ascii="微软雅黑" w:hAnsi="微软雅黑" w:eastAsia="微软雅黑"/>
          <w:sz w:val="24"/>
        </w:rPr>
        <w:t xml:space="preserve">    3.“品目及报价表”为多页的，每页均需由法定代表人或授权代表签字并盖投标人印章。</w:t>
      </w:r>
    </w:p>
    <w:p>
      <w:pPr>
        <w:spacing w:line="400" w:lineRule="exact"/>
        <w:ind w:firstLine="480"/>
        <w:jc w:val="left"/>
        <w:rPr>
          <w:rFonts w:ascii="微软雅黑" w:hAnsi="微软雅黑" w:eastAsia="微软雅黑"/>
          <w:sz w:val="24"/>
        </w:rPr>
      </w:pPr>
      <w:r>
        <w:rPr>
          <w:rFonts w:hint="eastAsia" w:ascii="微软雅黑" w:hAnsi="微软雅黑" w:eastAsia="微软雅黑"/>
          <w:sz w:val="24"/>
        </w:rPr>
        <w:t>4.“品目及报价表”需单独密封。</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供应商名称（盖章）：        </w:t>
      </w:r>
    </w:p>
    <w:p>
      <w:pPr>
        <w:adjustRightInd w:val="0"/>
        <w:spacing w:line="400" w:lineRule="exact"/>
        <w:jc w:val="left"/>
        <w:rPr>
          <w:rFonts w:ascii="微软雅黑" w:hAnsi="微软雅黑" w:eastAsia="微软雅黑"/>
          <w:sz w:val="24"/>
        </w:rPr>
      </w:pPr>
      <w:r>
        <w:rPr>
          <w:rFonts w:hint="eastAsia" w:ascii="微软雅黑" w:hAnsi="微软雅黑" w:eastAsia="微软雅黑"/>
          <w:sz w:val="24"/>
        </w:rPr>
        <w:t xml:space="preserve">    法定代表人或授权代表（签字）：                   </w:t>
      </w:r>
      <w:r>
        <w:rPr>
          <w:rFonts w:hint="eastAsia" w:ascii="微软雅黑" w:hAnsi="微软雅黑" w:eastAsia="微软雅黑"/>
          <w:bCs/>
          <w:sz w:val="24"/>
        </w:rPr>
        <w:t>联系方式：</w:t>
      </w:r>
      <w:r>
        <w:rPr>
          <w:rFonts w:hint="eastAsia" w:ascii="微软雅黑" w:hAnsi="微软雅黑" w:eastAsia="微软雅黑"/>
          <w:bCs/>
          <w:sz w:val="24"/>
          <w:u w:val="single"/>
        </w:rPr>
        <w:t xml:space="preserve">        </w:t>
      </w:r>
    </w:p>
    <w:p>
      <w:pPr>
        <w:spacing w:line="400" w:lineRule="exact"/>
        <w:ind w:firstLine="480"/>
        <w:rPr>
          <w:rFonts w:ascii="微软雅黑" w:hAnsi="微软雅黑" w:eastAsia="微软雅黑"/>
          <w:sz w:val="24"/>
        </w:rPr>
      </w:pPr>
      <w:r>
        <w:rPr>
          <w:rFonts w:hint="eastAsia" w:ascii="微软雅黑" w:hAnsi="微软雅黑" w:eastAsia="微软雅黑"/>
          <w:sz w:val="24"/>
        </w:rPr>
        <w:t>日期：</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spacing w:line="360" w:lineRule="auto"/>
        <w:jc w:val="center"/>
        <w:rPr>
          <w:rFonts w:ascii="微软雅黑" w:hAnsi="微软雅黑" w:eastAsia="微软雅黑"/>
          <w:bCs/>
          <w:sz w:val="32"/>
          <w:szCs w:val="32"/>
        </w:rPr>
      </w:pPr>
      <w:r>
        <w:rPr>
          <w:rFonts w:hint="eastAsia" w:ascii="微软雅黑" w:hAnsi="微软雅黑" w:eastAsia="微软雅黑"/>
          <w:sz w:val="32"/>
          <w:szCs w:val="32"/>
        </w:rPr>
        <w:t>规格型号、配置及偏离表</w:t>
      </w:r>
    </w:p>
    <w:tbl>
      <w:tblPr>
        <w:tblStyle w:val="8"/>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4"/>
              </w:rPr>
            </w:pPr>
          </w:p>
        </w:tc>
      </w:tr>
    </w:tbl>
    <w:p>
      <w:pPr>
        <w:spacing w:line="360" w:lineRule="auto"/>
        <w:ind w:firstLine="480" w:firstLineChars="200"/>
        <w:rPr>
          <w:rFonts w:ascii="微软雅黑" w:hAnsi="微软雅黑" w:eastAsia="微软雅黑" w:cs="Times New Roman"/>
          <w:b/>
          <w:sz w:val="24"/>
        </w:rPr>
      </w:pPr>
      <w:r>
        <w:rPr>
          <w:rFonts w:hint="eastAsia" w:ascii="微软雅黑" w:hAnsi="微软雅黑" w:eastAsia="微软雅黑"/>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360" w:firstLineChars="150"/>
        <w:jc w:val="left"/>
        <w:rPr>
          <w:rFonts w:ascii="微软雅黑" w:hAnsi="微软雅黑" w:eastAsia="微软雅黑"/>
          <w:bCs/>
          <w:sz w:val="24"/>
        </w:rPr>
      </w:pPr>
      <w:r>
        <w:rPr>
          <w:rFonts w:hint="eastAsia" w:ascii="微软雅黑" w:hAnsi="微软雅黑" w:eastAsia="微软雅黑"/>
          <w:bCs/>
          <w:sz w:val="24"/>
        </w:rPr>
        <w:t>日期:</w:t>
      </w:r>
    </w:p>
    <w:p>
      <w:pPr>
        <w:jc w:val="center"/>
        <w:rPr>
          <w:rFonts w:ascii="微软雅黑" w:hAnsi="微软雅黑" w:eastAsia="微软雅黑"/>
          <w:b/>
          <w:bCs/>
          <w:sz w:val="24"/>
        </w:rPr>
      </w:pPr>
    </w:p>
    <w:p>
      <w:pPr>
        <w:jc w:val="center"/>
        <w:rPr>
          <w:rFonts w:ascii="微软雅黑" w:hAnsi="微软雅黑" w:eastAsia="微软雅黑"/>
          <w:sz w:val="32"/>
          <w:szCs w:val="32"/>
        </w:rPr>
      </w:pPr>
      <w:r>
        <w:rPr>
          <w:rFonts w:hint="eastAsia" w:ascii="微软雅黑" w:hAnsi="微软雅黑" w:eastAsia="微软雅黑"/>
          <w:sz w:val="32"/>
          <w:szCs w:val="32"/>
        </w:rPr>
        <w:t>用户情况表</w:t>
      </w:r>
    </w:p>
    <w:p>
      <w:pPr>
        <w:jc w:val="center"/>
        <w:rPr>
          <w:rFonts w:ascii="微软雅黑" w:hAnsi="微软雅黑" w:eastAsia="微软雅黑"/>
          <w:sz w:val="32"/>
          <w:szCs w:val="32"/>
        </w:rPr>
      </w:pPr>
    </w:p>
    <w:tbl>
      <w:tblPr>
        <w:tblStyle w:val="8"/>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省外三级医院单位用户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用户名称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供货期限</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联系人及联系方式</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r>
              <w:rPr>
                <w:rFonts w:hint="eastAsia" w:ascii="微软雅黑" w:hAnsi="微软雅黑" w:eastAsia="微软雅黑"/>
                <w:sz w:val="24"/>
              </w:rPr>
              <w:t>省内三级医院用户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4"/>
              </w:rPr>
            </w:pPr>
          </w:p>
        </w:tc>
      </w:tr>
    </w:tbl>
    <w:p>
      <w:pPr>
        <w:spacing w:line="360" w:lineRule="auto"/>
        <w:rPr>
          <w:rFonts w:ascii="微软雅黑" w:hAnsi="微软雅黑" w:eastAsia="微软雅黑" w:cs="Times New Roman"/>
          <w:b/>
          <w:bCs/>
          <w:sz w:val="24"/>
        </w:rPr>
      </w:pPr>
    </w:p>
    <w:p>
      <w:pPr>
        <w:ind w:firstLine="480" w:firstLineChars="200"/>
        <w:rPr>
          <w:rFonts w:ascii="微软雅黑" w:hAnsi="微软雅黑" w:eastAsia="微软雅黑"/>
          <w:sz w:val="24"/>
        </w:rPr>
      </w:pPr>
      <w:r>
        <w:rPr>
          <w:rFonts w:hint="eastAsia" w:ascii="微软雅黑" w:hAnsi="微软雅黑" w:eastAsia="微软雅黑"/>
          <w:sz w:val="24"/>
        </w:rPr>
        <w:t>说明：1、表中产品为近三年销售，用户仍在使用的货物；2、只填写本次投标产品型号或与本次投标产品相当的型号。</w:t>
      </w:r>
    </w:p>
    <w:p>
      <w:pPr>
        <w:adjustRightInd w:val="0"/>
        <w:spacing w:line="360" w:lineRule="auto"/>
        <w:jc w:val="left"/>
        <w:rPr>
          <w:rFonts w:ascii="微软雅黑" w:hAnsi="微软雅黑" w:eastAsia="微软雅黑"/>
          <w:bCs/>
          <w:sz w:val="24"/>
        </w:rPr>
      </w:pPr>
      <w:r>
        <w:rPr>
          <w:rFonts w:hint="eastAsia" w:ascii="微软雅黑" w:hAnsi="微软雅黑" w:eastAsia="微软雅黑"/>
          <w:bCs/>
          <w:sz w:val="24"/>
        </w:rPr>
        <w:t>法定代表人或授权代表签字：</w:t>
      </w:r>
    </w:p>
    <w:p>
      <w:pPr>
        <w:spacing w:line="360" w:lineRule="auto"/>
        <w:ind w:firstLine="448" w:firstLineChars="187"/>
        <w:jc w:val="left"/>
        <w:rPr>
          <w:rFonts w:ascii="微软雅黑" w:hAnsi="微软雅黑" w:eastAsia="微软雅黑"/>
          <w:b/>
          <w:sz w:val="24"/>
        </w:rPr>
      </w:pPr>
      <w:r>
        <w:rPr>
          <w:rFonts w:hint="eastAsia" w:ascii="微软雅黑" w:hAnsi="微软雅黑" w:eastAsia="微软雅黑"/>
          <w:sz w:val="24"/>
        </w:rPr>
        <w:t>日期</w:t>
      </w:r>
      <w:r>
        <w:rPr>
          <w:rFonts w:hint="eastAsia" w:ascii="微软雅黑" w:hAnsi="微软雅黑" w:eastAsia="微软雅黑"/>
          <w:b/>
          <w:sz w:val="24"/>
        </w:rPr>
        <w:t>:</w:t>
      </w:r>
    </w:p>
    <w:p>
      <w:pPr>
        <w:spacing w:line="360" w:lineRule="auto"/>
        <w:ind w:firstLine="449" w:firstLineChars="187"/>
        <w:jc w:val="left"/>
        <w:rPr>
          <w:rFonts w:ascii="微软雅黑" w:hAnsi="微软雅黑" w:eastAsia="微软雅黑"/>
          <w:b/>
          <w:sz w:val="24"/>
        </w:rPr>
      </w:pPr>
    </w:p>
    <w:p>
      <w:pPr>
        <w:spacing w:line="360" w:lineRule="auto"/>
        <w:ind w:firstLine="449" w:firstLineChars="187"/>
        <w:jc w:val="left"/>
        <w:rPr>
          <w:rFonts w:ascii="微软雅黑" w:hAnsi="微软雅黑" w:eastAsia="微软雅黑"/>
          <w:b/>
          <w:sz w:val="24"/>
        </w:rPr>
      </w:pPr>
    </w:p>
    <w:p>
      <w:pPr>
        <w:pStyle w:val="3"/>
        <w:tabs>
          <w:tab w:val="left" w:pos="540"/>
        </w:tabs>
        <w:ind w:left="720" w:hanging="720"/>
        <w:jc w:val="center"/>
        <w:rPr>
          <w:rFonts w:ascii="微软雅黑" w:hAnsi="微软雅黑" w:eastAsia="微软雅黑"/>
          <w:b w:val="0"/>
          <w:sz w:val="32"/>
          <w:lang w:val="zh-CN"/>
        </w:rPr>
      </w:pPr>
      <w:bookmarkStart w:id="0" w:name="_Toc174767233"/>
      <w:bookmarkStart w:id="1" w:name="_Toc95295163"/>
      <w:bookmarkStart w:id="2" w:name="_Toc237343703"/>
      <w:r>
        <w:rPr>
          <w:rFonts w:hint="eastAsia" w:ascii="微软雅黑" w:hAnsi="微软雅黑" w:eastAsia="微软雅黑"/>
          <w:lang w:val="zh-CN"/>
        </w:rPr>
        <w:t>法定代表人身份授权书</w:t>
      </w:r>
    </w:p>
    <w:p>
      <w:pPr>
        <w:tabs>
          <w:tab w:val="left" w:pos="6300"/>
        </w:tabs>
        <w:spacing w:line="360" w:lineRule="auto"/>
        <w:rPr>
          <w:rFonts w:ascii="微软雅黑" w:hAnsi="微软雅黑" w:eastAsia="微软雅黑"/>
          <w:sz w:val="24"/>
          <w:lang w:val="zh-CN"/>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（采购单位名称）：</w:t>
      </w:r>
    </w:p>
    <w:p>
      <w:pPr>
        <w:tabs>
          <w:tab w:val="left" w:pos="720"/>
          <w:tab w:val="left" w:pos="6300"/>
        </w:tabs>
        <w:spacing w:line="360" w:lineRule="auto"/>
        <w:ind w:firstLine="573"/>
        <w:rPr>
          <w:rFonts w:ascii="微软雅黑" w:hAnsi="微软雅黑" w:eastAsia="微软雅黑"/>
          <w:sz w:val="24"/>
          <w:u w:val="single"/>
          <w:lang w:val="zh-CN"/>
        </w:rPr>
      </w:pPr>
      <w:r>
        <w:rPr>
          <w:rFonts w:hint="eastAsia" w:ascii="微软雅黑" w:hAnsi="微软雅黑" w:eastAsia="微软雅黑"/>
          <w:sz w:val="24"/>
          <w:lang w:val="zh-CN"/>
        </w:rPr>
        <w:t xml:space="preserve">   本授权声明：</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（投标人名称）</w:t>
      </w:r>
      <w:r>
        <w:rPr>
          <w:rFonts w:hint="eastAsia" w:ascii="微软雅黑" w:hAnsi="微软雅黑" w:eastAsia="微软雅黑"/>
          <w:sz w:val="24"/>
          <w:u w:val="single"/>
          <w:lang w:val="zh-CN"/>
        </w:rPr>
        <w:t xml:space="preserve">           </w:t>
      </w:r>
    </w:p>
    <w:p>
      <w:pPr>
        <w:tabs>
          <w:tab w:val="left" w:pos="720"/>
          <w:tab w:val="left" w:pos="6300"/>
        </w:tabs>
        <w:spacing w:line="360" w:lineRule="auto"/>
        <w:rPr>
          <w:rFonts w:ascii="微软雅黑" w:hAnsi="微软雅黑" w:eastAsia="微软雅黑"/>
          <w:sz w:val="24"/>
        </w:rPr>
      </w:pP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（法定代表人姓名、职务）授权</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（被授权人姓名、职务）为我方</w:t>
      </w:r>
      <w:r>
        <w:rPr>
          <w:rFonts w:hint="eastAsia" w:ascii="微软雅黑" w:hAnsi="微软雅黑" w:eastAsia="微软雅黑"/>
          <w:sz w:val="24"/>
          <w:u w:val="single"/>
          <w:lang w:val="zh-CN"/>
        </w:rPr>
        <w:t xml:space="preserve"> “                                          ”</w:t>
      </w:r>
      <w:r>
        <w:rPr>
          <w:rFonts w:hint="eastAsia" w:ascii="微软雅黑" w:hAnsi="微软雅黑" w:eastAsia="微软雅黑"/>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特此声明。</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法定代表人签字：</w:t>
      </w:r>
    </w:p>
    <w:p>
      <w:pPr>
        <w:tabs>
          <w:tab w:val="left" w:pos="6300"/>
        </w:tabs>
        <w:spacing w:line="360" w:lineRule="auto"/>
        <w:ind w:firstLine="573"/>
        <w:rPr>
          <w:rFonts w:ascii="微软雅黑" w:hAnsi="微软雅黑" w:eastAsia="微软雅黑"/>
          <w:sz w:val="24"/>
        </w:rPr>
      </w:pPr>
      <w:r>
        <w:rPr>
          <w:rFonts w:hint="eastAsia" w:ascii="微软雅黑" w:hAnsi="微软雅黑" w:eastAsia="微软雅黑"/>
          <w:sz w:val="24"/>
        </w:rPr>
        <w:t>授权代表签字：</w:t>
      </w:r>
    </w:p>
    <w:p>
      <w:pPr>
        <w:spacing w:line="360" w:lineRule="auto"/>
        <w:ind w:firstLine="480"/>
        <w:rPr>
          <w:rFonts w:ascii="微软雅黑" w:hAnsi="微软雅黑" w:eastAsia="微软雅黑"/>
          <w:sz w:val="24"/>
        </w:rPr>
      </w:pPr>
      <w:r>
        <w:rPr>
          <w:rFonts w:hint="eastAsia" w:ascii="微软雅黑" w:hAnsi="微软雅黑" w:eastAsia="微软雅黑"/>
          <w:sz w:val="24"/>
        </w:rPr>
        <w:t>投标人名称：</w:t>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ab/>
      </w:r>
      <w:r>
        <w:rPr>
          <w:rFonts w:hint="eastAsia" w:ascii="微软雅黑" w:hAnsi="微软雅黑" w:eastAsia="微软雅黑"/>
          <w:sz w:val="24"/>
        </w:rPr>
        <w:t xml:space="preserve">      （加盖公章）</w:t>
      </w:r>
    </w:p>
    <w:p>
      <w:pPr>
        <w:spacing w:line="360" w:lineRule="auto"/>
        <w:ind w:firstLine="480"/>
        <w:rPr>
          <w:rFonts w:ascii="微软雅黑" w:hAnsi="微软雅黑" w:eastAsia="微软雅黑"/>
          <w:sz w:val="24"/>
        </w:rPr>
      </w:pPr>
      <w:r>
        <w:rPr>
          <w:rFonts w:hint="eastAsia" w:ascii="微软雅黑" w:hAnsi="微软雅黑" w:eastAsia="微软雅黑"/>
          <w:sz w:val="24"/>
        </w:rPr>
        <w:t>日期：</w:t>
      </w:r>
    </w:p>
    <w:p>
      <w:pPr>
        <w:numPr>
          <w:ilvl w:val="0"/>
          <w:numId w:val="4"/>
        </w:numPr>
        <w:tabs>
          <w:tab w:val="left" w:pos="6300"/>
        </w:tabs>
        <w:spacing w:line="360" w:lineRule="auto"/>
        <w:rPr>
          <w:rFonts w:ascii="微软雅黑" w:hAnsi="微软雅黑" w:eastAsia="微软雅黑"/>
          <w:sz w:val="24"/>
        </w:rPr>
      </w:pPr>
      <w:r>
        <w:rPr>
          <w:rFonts w:hint="eastAsia" w:ascii="微软雅黑" w:hAnsi="微软雅黑" w:eastAsia="微软雅黑"/>
          <w:sz w:val="24"/>
        </w:rPr>
        <w:t>说明：上述证明文件附有法定代表人、被授权代表身份证复印件（加盖公章）时才能生效。</w:t>
      </w:r>
      <w:bookmarkEnd w:id="0"/>
      <w:bookmarkEnd w:id="1"/>
      <w:bookmarkEnd w:id="2"/>
    </w:p>
    <w:p>
      <w:pPr>
        <w:tabs>
          <w:tab w:val="left" w:pos="480"/>
          <w:tab w:val="left" w:pos="6300"/>
        </w:tabs>
        <w:spacing w:line="360" w:lineRule="auto"/>
        <w:ind w:left="480"/>
        <w:rPr>
          <w:rFonts w:ascii="微软雅黑" w:hAnsi="微软雅黑" w:eastAsia="微软雅黑"/>
          <w:sz w:val="24"/>
        </w:rPr>
      </w:pPr>
    </w:p>
    <w:p>
      <w:pPr>
        <w:rPr>
          <w:rFonts w:hint="eastAsia" w:ascii="微软雅黑" w:hAnsi="微软雅黑" w:eastAsia="微软雅黑"/>
          <w:sz w:val="32"/>
          <w:szCs w:val="32"/>
        </w:rPr>
      </w:pPr>
      <w:r>
        <w:rPr>
          <w:rFonts w:hint="eastAsia" w:ascii="微软雅黑" w:hAnsi="微软雅黑" w:eastAsia="微软雅黑"/>
          <w:sz w:val="32"/>
          <w:szCs w:val="32"/>
        </w:rPr>
        <w:br w:type="page"/>
      </w:r>
    </w:p>
    <w:p>
      <w:pPr>
        <w:tabs>
          <w:tab w:val="left" w:pos="6645"/>
        </w:tabs>
        <w:spacing w:line="360" w:lineRule="auto"/>
        <w:rPr>
          <w:rFonts w:ascii="微软雅黑" w:hAnsi="微软雅黑" w:eastAsia="微软雅黑"/>
          <w:sz w:val="32"/>
          <w:szCs w:val="32"/>
        </w:rPr>
      </w:pPr>
      <w:r>
        <w:rPr>
          <w:rFonts w:hint="eastAsia" w:ascii="微软雅黑" w:hAnsi="微软雅黑" w:eastAsia="微软雅黑"/>
          <w:sz w:val="32"/>
          <w:szCs w:val="32"/>
        </w:rPr>
        <w:t>附件4：</w:t>
      </w: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jc w:val="center"/>
        <w:textAlignment w:val="auto"/>
        <w:rPr>
          <w:rFonts w:ascii="微软雅黑" w:hAnsi="微软雅黑" w:eastAsia="微软雅黑"/>
          <w:sz w:val="32"/>
          <w:szCs w:val="32"/>
        </w:rPr>
      </w:pPr>
      <w:r>
        <w:rPr>
          <w:rFonts w:hint="eastAsia" w:ascii="微软雅黑" w:hAnsi="微软雅黑" w:eastAsia="微软雅黑"/>
          <w:sz w:val="32"/>
          <w:szCs w:val="32"/>
        </w:rPr>
        <w:t>反商业贿赂承诺书</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rPr>
        <w:t>一、</w:t>
      </w:r>
      <w:r>
        <w:rPr>
          <w:rFonts w:hint="eastAsia" w:ascii="微软雅黑" w:hAnsi="微软雅黑" w:eastAsia="微软雅黑"/>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 xml:space="preserve">六、 采购物资名称：                                   </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ascii="微软雅黑" w:hAnsi="微软雅黑" w:eastAsia="微软雅黑"/>
          <w:szCs w:val="21"/>
        </w:rPr>
      </w:pP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ascii="微软雅黑" w:hAnsi="微软雅黑" w:eastAsia="微软雅黑"/>
          <w:szCs w:val="21"/>
        </w:rPr>
      </w:pPr>
      <w:r>
        <w:rPr>
          <w:rFonts w:hint="eastAsia" w:ascii="微软雅黑" w:hAnsi="微软雅黑" w:eastAsia="微软雅黑"/>
          <w:szCs w:val="21"/>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ascii="Segoe UI" w:hAnsi="Segoe UI" w:eastAsia="宋体" w:cs="Segoe UI"/>
          <w:color w:val="333333"/>
          <w:kern w:val="0"/>
          <w:sz w:val="18"/>
          <w:szCs w:val="18"/>
        </w:rPr>
      </w:pPr>
      <w:r>
        <w:rPr>
          <w:rFonts w:hint="eastAsia" w:ascii="微软雅黑" w:hAnsi="微软雅黑" w:eastAsia="微软雅黑"/>
          <w:szCs w:val="21"/>
        </w:rPr>
        <w:t xml:space="preserve">承诺企业名称（公章）                     法人代表或委托代理人（承诺人）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宋体-方正超大字符集">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95A42"/>
    <w:multiLevelType w:val="singleLevel"/>
    <w:tmpl w:val="87595A42"/>
    <w:lvl w:ilvl="0" w:tentative="0">
      <w:start w:val="1"/>
      <w:numFmt w:val="decimal"/>
      <w:lvlText w:val="%1."/>
      <w:lvlJc w:val="left"/>
      <w:pPr>
        <w:ind w:left="425" w:hanging="425"/>
      </w:pPr>
      <w:rPr>
        <w:rFonts w:hint="default"/>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2">
    <w:nsid w:val="40B35F6E"/>
    <w:multiLevelType w:val="multilevel"/>
    <w:tmpl w:val="40B35F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934B81"/>
    <w:multiLevelType w:val="multilevel"/>
    <w:tmpl w:val="63934B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2DBB"/>
    <w:rsid w:val="00007DFD"/>
    <w:rsid w:val="00010103"/>
    <w:rsid w:val="00010B00"/>
    <w:rsid w:val="00015E93"/>
    <w:rsid w:val="00024D64"/>
    <w:rsid w:val="00043546"/>
    <w:rsid w:val="000438E7"/>
    <w:rsid w:val="00044DEC"/>
    <w:rsid w:val="000748BC"/>
    <w:rsid w:val="00075C80"/>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63A7A"/>
    <w:rsid w:val="001660F2"/>
    <w:rsid w:val="001933FC"/>
    <w:rsid w:val="001A0043"/>
    <w:rsid w:val="001A6728"/>
    <w:rsid w:val="001B6821"/>
    <w:rsid w:val="0021079A"/>
    <w:rsid w:val="00212CDC"/>
    <w:rsid w:val="00222359"/>
    <w:rsid w:val="002272D2"/>
    <w:rsid w:val="00227B3D"/>
    <w:rsid w:val="00236079"/>
    <w:rsid w:val="002820EB"/>
    <w:rsid w:val="002832F3"/>
    <w:rsid w:val="002B147D"/>
    <w:rsid w:val="002B3FE8"/>
    <w:rsid w:val="002B6FCE"/>
    <w:rsid w:val="002C5A43"/>
    <w:rsid w:val="002E55D8"/>
    <w:rsid w:val="00306264"/>
    <w:rsid w:val="0030789D"/>
    <w:rsid w:val="003178E2"/>
    <w:rsid w:val="00317ADE"/>
    <w:rsid w:val="003245F4"/>
    <w:rsid w:val="003248E5"/>
    <w:rsid w:val="00332CD5"/>
    <w:rsid w:val="00335A3B"/>
    <w:rsid w:val="00341E1E"/>
    <w:rsid w:val="003636D3"/>
    <w:rsid w:val="00364A1D"/>
    <w:rsid w:val="0037583B"/>
    <w:rsid w:val="003A2C67"/>
    <w:rsid w:val="003B07D3"/>
    <w:rsid w:val="003B16D4"/>
    <w:rsid w:val="003D2F0C"/>
    <w:rsid w:val="003F05A5"/>
    <w:rsid w:val="00406809"/>
    <w:rsid w:val="00411A4B"/>
    <w:rsid w:val="0041753A"/>
    <w:rsid w:val="00424DEB"/>
    <w:rsid w:val="00427D8B"/>
    <w:rsid w:val="004408B8"/>
    <w:rsid w:val="00462076"/>
    <w:rsid w:val="00462F04"/>
    <w:rsid w:val="00463278"/>
    <w:rsid w:val="004661AC"/>
    <w:rsid w:val="00485D78"/>
    <w:rsid w:val="004B589A"/>
    <w:rsid w:val="004D1283"/>
    <w:rsid w:val="004D6C13"/>
    <w:rsid w:val="004E7E54"/>
    <w:rsid w:val="0052733C"/>
    <w:rsid w:val="00531EBF"/>
    <w:rsid w:val="00541637"/>
    <w:rsid w:val="005445B0"/>
    <w:rsid w:val="00547703"/>
    <w:rsid w:val="00553AF3"/>
    <w:rsid w:val="00553C17"/>
    <w:rsid w:val="0055466B"/>
    <w:rsid w:val="00565629"/>
    <w:rsid w:val="005736DB"/>
    <w:rsid w:val="00582624"/>
    <w:rsid w:val="00582B1E"/>
    <w:rsid w:val="00587330"/>
    <w:rsid w:val="005968B6"/>
    <w:rsid w:val="00597D06"/>
    <w:rsid w:val="005A42FF"/>
    <w:rsid w:val="005A498C"/>
    <w:rsid w:val="005B436F"/>
    <w:rsid w:val="005B51F2"/>
    <w:rsid w:val="005E45E1"/>
    <w:rsid w:val="005E7B85"/>
    <w:rsid w:val="00617A88"/>
    <w:rsid w:val="006205A9"/>
    <w:rsid w:val="00623ECD"/>
    <w:rsid w:val="00650E6E"/>
    <w:rsid w:val="00651D12"/>
    <w:rsid w:val="00692DF4"/>
    <w:rsid w:val="00695255"/>
    <w:rsid w:val="006A02EE"/>
    <w:rsid w:val="006C682E"/>
    <w:rsid w:val="006E362A"/>
    <w:rsid w:val="006E38D3"/>
    <w:rsid w:val="006E7088"/>
    <w:rsid w:val="006F18FD"/>
    <w:rsid w:val="007047F2"/>
    <w:rsid w:val="00711BF3"/>
    <w:rsid w:val="00722134"/>
    <w:rsid w:val="0072583B"/>
    <w:rsid w:val="0073058F"/>
    <w:rsid w:val="00735DB0"/>
    <w:rsid w:val="0074103A"/>
    <w:rsid w:val="00752207"/>
    <w:rsid w:val="00757B8C"/>
    <w:rsid w:val="0076416E"/>
    <w:rsid w:val="007A3AC3"/>
    <w:rsid w:val="007B6052"/>
    <w:rsid w:val="007D0E22"/>
    <w:rsid w:val="007E08D0"/>
    <w:rsid w:val="007E3F18"/>
    <w:rsid w:val="00831586"/>
    <w:rsid w:val="008364F8"/>
    <w:rsid w:val="008417D7"/>
    <w:rsid w:val="00853D43"/>
    <w:rsid w:val="00881863"/>
    <w:rsid w:val="008A5A9B"/>
    <w:rsid w:val="008B3302"/>
    <w:rsid w:val="008D5F86"/>
    <w:rsid w:val="008E01EC"/>
    <w:rsid w:val="008E367A"/>
    <w:rsid w:val="00904265"/>
    <w:rsid w:val="00906325"/>
    <w:rsid w:val="009162F2"/>
    <w:rsid w:val="00924779"/>
    <w:rsid w:val="009313F7"/>
    <w:rsid w:val="00960DAA"/>
    <w:rsid w:val="00970F1E"/>
    <w:rsid w:val="00973CDF"/>
    <w:rsid w:val="00974ECC"/>
    <w:rsid w:val="00991324"/>
    <w:rsid w:val="009925F0"/>
    <w:rsid w:val="0099558B"/>
    <w:rsid w:val="009A546E"/>
    <w:rsid w:val="009B20EB"/>
    <w:rsid w:val="009D6F80"/>
    <w:rsid w:val="009E4ACB"/>
    <w:rsid w:val="009E66B7"/>
    <w:rsid w:val="009F38F3"/>
    <w:rsid w:val="00A1064C"/>
    <w:rsid w:val="00A14FB3"/>
    <w:rsid w:val="00A42003"/>
    <w:rsid w:val="00A509AB"/>
    <w:rsid w:val="00A54FF5"/>
    <w:rsid w:val="00A56FED"/>
    <w:rsid w:val="00A57D69"/>
    <w:rsid w:val="00A75FD0"/>
    <w:rsid w:val="00A90E3D"/>
    <w:rsid w:val="00AA4BD9"/>
    <w:rsid w:val="00AB3127"/>
    <w:rsid w:val="00AC5745"/>
    <w:rsid w:val="00AD0D2B"/>
    <w:rsid w:val="00AF1410"/>
    <w:rsid w:val="00B1151E"/>
    <w:rsid w:val="00B14A60"/>
    <w:rsid w:val="00B155B7"/>
    <w:rsid w:val="00B20822"/>
    <w:rsid w:val="00B22A4C"/>
    <w:rsid w:val="00B33EC8"/>
    <w:rsid w:val="00B521F0"/>
    <w:rsid w:val="00B54AAD"/>
    <w:rsid w:val="00B63F70"/>
    <w:rsid w:val="00B70C15"/>
    <w:rsid w:val="00B84D5D"/>
    <w:rsid w:val="00B92957"/>
    <w:rsid w:val="00B97955"/>
    <w:rsid w:val="00BA3326"/>
    <w:rsid w:val="00BE1EEA"/>
    <w:rsid w:val="00BE3C7E"/>
    <w:rsid w:val="00BE7321"/>
    <w:rsid w:val="00BF45A6"/>
    <w:rsid w:val="00BF78CD"/>
    <w:rsid w:val="00C1492E"/>
    <w:rsid w:val="00C2001E"/>
    <w:rsid w:val="00C234A0"/>
    <w:rsid w:val="00C300D9"/>
    <w:rsid w:val="00C4128A"/>
    <w:rsid w:val="00C416A9"/>
    <w:rsid w:val="00C4640A"/>
    <w:rsid w:val="00C609E3"/>
    <w:rsid w:val="00C72BD9"/>
    <w:rsid w:val="00C749CC"/>
    <w:rsid w:val="00C82489"/>
    <w:rsid w:val="00C85E3F"/>
    <w:rsid w:val="00C86F82"/>
    <w:rsid w:val="00CB4E79"/>
    <w:rsid w:val="00CB5106"/>
    <w:rsid w:val="00CD0AEF"/>
    <w:rsid w:val="00CD38C5"/>
    <w:rsid w:val="00CE3709"/>
    <w:rsid w:val="00CE5869"/>
    <w:rsid w:val="00CF1903"/>
    <w:rsid w:val="00D2792B"/>
    <w:rsid w:val="00D33BA8"/>
    <w:rsid w:val="00D4455D"/>
    <w:rsid w:val="00D540FF"/>
    <w:rsid w:val="00D54398"/>
    <w:rsid w:val="00D93DCF"/>
    <w:rsid w:val="00D94DD0"/>
    <w:rsid w:val="00DF0727"/>
    <w:rsid w:val="00DF2981"/>
    <w:rsid w:val="00E043CA"/>
    <w:rsid w:val="00E17B68"/>
    <w:rsid w:val="00E24504"/>
    <w:rsid w:val="00E271F6"/>
    <w:rsid w:val="00E3692B"/>
    <w:rsid w:val="00E53C4C"/>
    <w:rsid w:val="00E61E0A"/>
    <w:rsid w:val="00E8491A"/>
    <w:rsid w:val="00E86BED"/>
    <w:rsid w:val="00E96BE6"/>
    <w:rsid w:val="00EC180F"/>
    <w:rsid w:val="00EC2E6F"/>
    <w:rsid w:val="00F01BA1"/>
    <w:rsid w:val="00F0472A"/>
    <w:rsid w:val="00F0586B"/>
    <w:rsid w:val="00F14C35"/>
    <w:rsid w:val="00F17FD2"/>
    <w:rsid w:val="00F20659"/>
    <w:rsid w:val="00F76ECB"/>
    <w:rsid w:val="00F77857"/>
    <w:rsid w:val="00F9258E"/>
    <w:rsid w:val="00F9486E"/>
    <w:rsid w:val="00F95593"/>
    <w:rsid w:val="00F97FB9"/>
    <w:rsid w:val="00FD1F4A"/>
    <w:rsid w:val="04860C7B"/>
    <w:rsid w:val="08907AC9"/>
    <w:rsid w:val="0BB24F48"/>
    <w:rsid w:val="0C076A93"/>
    <w:rsid w:val="13ED5DBA"/>
    <w:rsid w:val="212F40F4"/>
    <w:rsid w:val="2E696580"/>
    <w:rsid w:val="2F5B1DF2"/>
    <w:rsid w:val="2FD51D71"/>
    <w:rsid w:val="35883C6D"/>
    <w:rsid w:val="415B7DFE"/>
    <w:rsid w:val="5FEC391F"/>
    <w:rsid w:val="62A24D91"/>
    <w:rsid w:val="6DE46482"/>
    <w:rsid w:val="75164C0A"/>
    <w:rsid w:val="7A5C06B9"/>
    <w:rsid w:val="7A5E4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Body Text Indent"/>
    <w:basedOn w:val="1"/>
    <w:semiHidden/>
    <w:unhideWhenUsed/>
    <w:qFormat/>
    <w:uiPriority w:val="99"/>
    <w:pPr>
      <w:spacing w:after="120"/>
      <w:ind w:left="420" w:leftChars="200"/>
    </w:p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qFormat/>
    <w:uiPriority w:val="0"/>
    <w:rPr>
      <w:b/>
      <w:bCs/>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930</Words>
  <Characters>5304</Characters>
  <Lines>44</Lines>
  <Paragraphs>12</Paragraphs>
  <TotalTime>8</TotalTime>
  <ScaleCrop>false</ScaleCrop>
  <LinksUpToDate>false</LinksUpToDate>
  <CharactersWithSpaces>6222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铁头</cp:lastModifiedBy>
  <dcterms:modified xsi:type="dcterms:W3CDTF">2021-11-25T12:30:34Z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802B32B5989046BBBD2B3A15E3DA7DC6</vt:lpwstr>
  </property>
</Properties>
</file>